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93" w:rsidRPr="00BD34E2" w:rsidRDefault="00D52293" w:rsidP="00AF0142">
      <w:pPr>
        <w:jc w:val="center"/>
        <w:rPr>
          <w:rFonts w:ascii="Times New Roman" w:hAnsi="Times New Roman"/>
          <w:b/>
          <w:sz w:val="28"/>
          <w:szCs w:val="28"/>
        </w:rPr>
      </w:pPr>
      <w:r w:rsidRPr="00BD34E2">
        <w:rPr>
          <w:rFonts w:ascii="Times New Roman" w:hAnsi="Times New Roman"/>
          <w:b/>
          <w:sz w:val="28"/>
          <w:szCs w:val="28"/>
        </w:rPr>
        <w:t>PHỤ LỤC I</w:t>
      </w:r>
    </w:p>
    <w:p w:rsidR="00D52293" w:rsidRPr="00BD34E2" w:rsidRDefault="00D52293" w:rsidP="00BD34E2">
      <w:pPr>
        <w:spacing w:before="120" w:after="120"/>
        <w:jc w:val="center"/>
        <w:rPr>
          <w:rFonts w:ascii="Times New Roman" w:hAnsi="Times New Roman"/>
          <w:b/>
          <w:sz w:val="28"/>
          <w:szCs w:val="28"/>
        </w:rPr>
      </w:pPr>
      <w:r w:rsidRPr="00BD34E2">
        <w:rPr>
          <w:rFonts w:ascii="Times New Roman" w:hAnsi="Times New Roman"/>
          <w:b/>
          <w:sz w:val="28"/>
          <w:szCs w:val="28"/>
        </w:rPr>
        <w:t>DANH MỤC THỦ TỤC HÀNH CHÍNH CHUẨN HOÁ</w:t>
      </w:r>
      <w:r>
        <w:rPr>
          <w:rFonts w:ascii="Times New Roman" w:hAnsi="Times New Roman"/>
          <w:b/>
          <w:sz w:val="28"/>
          <w:szCs w:val="28"/>
        </w:rPr>
        <w:t xml:space="preserve"> TRONG</w:t>
      </w:r>
      <w:r w:rsidRPr="00BD34E2">
        <w:rPr>
          <w:rFonts w:ascii="Times New Roman" w:hAnsi="Times New Roman"/>
          <w:b/>
          <w:sz w:val="28"/>
          <w:szCs w:val="28"/>
        </w:rPr>
        <w:t xml:space="preserve"> </w:t>
      </w:r>
      <w:r>
        <w:rPr>
          <w:rFonts w:ascii="Times New Roman" w:hAnsi="Times New Roman"/>
          <w:b/>
          <w:sz w:val="28"/>
          <w:szCs w:val="28"/>
        </w:rPr>
        <w:t>LĨNH VỰC XÂY DỰNG</w:t>
      </w:r>
      <w:r w:rsidRPr="00BD34E2">
        <w:rPr>
          <w:rFonts w:ascii="Times New Roman" w:hAnsi="Times New Roman"/>
          <w:b/>
          <w:sz w:val="28"/>
          <w:szCs w:val="28"/>
        </w:rPr>
        <w:br/>
        <w:t xml:space="preserve">THUỘC THẨM QUYỀN GIẢI QUYẾT CỦA </w:t>
      </w:r>
      <w:r>
        <w:rPr>
          <w:rFonts w:ascii="Times New Roman" w:hAnsi="Times New Roman"/>
          <w:b/>
          <w:sz w:val="28"/>
          <w:szCs w:val="28"/>
        </w:rPr>
        <w:t>UỶ BAN NHÂN DÂN CẤP HUYỆN</w:t>
      </w:r>
      <w:r>
        <w:rPr>
          <w:rFonts w:ascii="Times New Roman" w:hAnsi="Times New Roman"/>
          <w:b/>
          <w:sz w:val="28"/>
          <w:szCs w:val="28"/>
        </w:rPr>
        <w:br/>
        <w:t>ÁP DỤNG TRÊN ĐỊA BÀN TỈNH THỪA THIÊN HUẾ</w:t>
      </w:r>
    </w:p>
    <w:p w:rsidR="00D52293" w:rsidRDefault="00D52293" w:rsidP="007B310B">
      <w:pPr>
        <w:jc w:val="center"/>
        <w:rPr>
          <w:rFonts w:ascii="Times New Roman" w:hAnsi="Times New Roman"/>
          <w:i/>
          <w:sz w:val="28"/>
          <w:szCs w:val="28"/>
        </w:rPr>
      </w:pPr>
      <w:r w:rsidRPr="00BD34E2">
        <w:rPr>
          <w:rFonts w:ascii="Times New Roman" w:hAnsi="Times New Roman"/>
          <w:i/>
          <w:sz w:val="28"/>
          <w:szCs w:val="28"/>
        </w:rPr>
        <w:t xml:space="preserve">(Ban hành kèm theo Quyết định số </w:t>
      </w:r>
      <w:r>
        <w:rPr>
          <w:rFonts w:ascii="Times New Roman" w:hAnsi="Times New Roman"/>
          <w:i/>
          <w:sz w:val="28"/>
          <w:szCs w:val="28"/>
        </w:rPr>
        <w:t>10</w:t>
      </w:r>
      <w:r w:rsidRPr="00BD34E2">
        <w:rPr>
          <w:rFonts w:ascii="Times New Roman" w:hAnsi="Times New Roman"/>
          <w:i/>
          <w:sz w:val="28"/>
          <w:szCs w:val="28"/>
        </w:rPr>
        <w:t xml:space="preserve"> /QĐ-UBND ngày</w:t>
      </w:r>
      <w:r>
        <w:rPr>
          <w:rFonts w:ascii="Times New Roman" w:hAnsi="Times New Roman"/>
          <w:i/>
          <w:sz w:val="28"/>
          <w:szCs w:val="28"/>
        </w:rPr>
        <w:t xml:space="preserve"> 03 </w:t>
      </w:r>
      <w:r w:rsidRPr="00BD34E2">
        <w:rPr>
          <w:rFonts w:ascii="Times New Roman" w:hAnsi="Times New Roman"/>
          <w:i/>
          <w:sz w:val="28"/>
          <w:szCs w:val="28"/>
        </w:rPr>
        <w:t xml:space="preserve"> tháng </w:t>
      </w:r>
      <w:r>
        <w:rPr>
          <w:rFonts w:ascii="Times New Roman" w:hAnsi="Times New Roman"/>
          <w:i/>
          <w:sz w:val="28"/>
          <w:szCs w:val="28"/>
        </w:rPr>
        <w:t>01</w:t>
      </w:r>
      <w:r w:rsidRPr="00BD34E2">
        <w:rPr>
          <w:rFonts w:ascii="Times New Roman" w:hAnsi="Times New Roman"/>
          <w:i/>
          <w:sz w:val="28"/>
          <w:szCs w:val="28"/>
        </w:rPr>
        <w:t xml:space="preserve"> năm 201</w:t>
      </w:r>
      <w:r>
        <w:rPr>
          <w:rFonts w:ascii="Times New Roman" w:hAnsi="Times New Roman"/>
          <w:i/>
          <w:sz w:val="28"/>
          <w:szCs w:val="28"/>
        </w:rPr>
        <w:t>9</w:t>
      </w:r>
      <w:bookmarkStart w:id="0" w:name="_GoBack"/>
      <w:bookmarkEnd w:id="0"/>
      <w:r w:rsidRPr="00BD34E2">
        <w:rPr>
          <w:rFonts w:ascii="Times New Roman" w:hAnsi="Times New Roman"/>
          <w:i/>
          <w:sz w:val="28"/>
          <w:szCs w:val="28"/>
        </w:rPr>
        <w:t xml:space="preserve"> của Chủ tịch UBND tỉnh Thừa Thiên Huế)</w:t>
      </w:r>
    </w:p>
    <w:p w:rsidR="00D52293" w:rsidRDefault="00D52293" w:rsidP="007B310B">
      <w:pPr>
        <w:jc w:val="center"/>
        <w:rPr>
          <w:rFonts w:ascii="Times New Roman" w:hAnsi="Times New Roman"/>
          <w:i/>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2551"/>
        <w:gridCol w:w="1843"/>
        <w:gridCol w:w="1559"/>
        <w:gridCol w:w="1843"/>
        <w:gridCol w:w="7024"/>
      </w:tblGrid>
      <w:tr w:rsidR="00D52293" w:rsidRPr="001347DD" w:rsidTr="007C5328">
        <w:tc>
          <w:tcPr>
            <w:tcW w:w="710" w:type="dxa"/>
            <w:vAlign w:val="center"/>
          </w:tcPr>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8"/>
                <w:szCs w:val="24"/>
              </w:rPr>
              <w:t>TT</w:t>
            </w:r>
          </w:p>
        </w:tc>
        <w:tc>
          <w:tcPr>
            <w:tcW w:w="2551" w:type="dxa"/>
            <w:vAlign w:val="center"/>
          </w:tcPr>
          <w:p w:rsidR="00D52293" w:rsidRPr="007C5328" w:rsidRDefault="00D52293" w:rsidP="007C5328">
            <w:pPr>
              <w:spacing w:before="60" w:after="60"/>
              <w:jc w:val="center"/>
              <w:rPr>
                <w:rFonts w:ascii="Times New Roman" w:hAnsi="Times New Roman"/>
                <w:b/>
                <w:sz w:val="26"/>
                <w:szCs w:val="24"/>
              </w:rPr>
            </w:pPr>
            <w:r w:rsidRPr="007C5328">
              <w:rPr>
                <w:rFonts w:ascii="Times New Roman" w:hAnsi="Times New Roman"/>
                <w:b/>
                <w:sz w:val="26"/>
                <w:szCs w:val="24"/>
              </w:rPr>
              <w:t xml:space="preserve">TÊN THỦ TỤC </w:t>
            </w:r>
          </w:p>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6"/>
                <w:szCs w:val="24"/>
              </w:rPr>
              <w:t>HÀNH CHÍNH</w:t>
            </w:r>
          </w:p>
        </w:tc>
        <w:tc>
          <w:tcPr>
            <w:tcW w:w="1843" w:type="dxa"/>
            <w:vAlign w:val="center"/>
          </w:tcPr>
          <w:p w:rsidR="00D52293" w:rsidRPr="007C5328" w:rsidRDefault="00D52293" w:rsidP="007C5328">
            <w:pPr>
              <w:spacing w:before="60" w:after="60"/>
              <w:jc w:val="center"/>
              <w:rPr>
                <w:rFonts w:ascii="Times New Roman" w:hAnsi="Times New Roman"/>
                <w:b/>
                <w:sz w:val="28"/>
                <w:szCs w:val="24"/>
              </w:rPr>
            </w:pPr>
            <w:r w:rsidRPr="007C5328">
              <w:rPr>
                <w:rFonts w:ascii="Times New Roman" w:hAnsi="Times New Roman"/>
                <w:b/>
                <w:sz w:val="28"/>
                <w:szCs w:val="24"/>
              </w:rPr>
              <w:t xml:space="preserve">Thời hạn </w:t>
            </w:r>
          </w:p>
          <w:p w:rsidR="00D52293" w:rsidRPr="007C5328" w:rsidRDefault="00D52293" w:rsidP="007C5328">
            <w:pPr>
              <w:spacing w:before="60" w:after="60"/>
              <w:jc w:val="center"/>
              <w:rPr>
                <w:rFonts w:ascii="Times New Roman" w:hAnsi="Times New Roman"/>
                <w:b/>
                <w:sz w:val="28"/>
                <w:szCs w:val="24"/>
              </w:rPr>
            </w:pPr>
            <w:r w:rsidRPr="007C5328">
              <w:rPr>
                <w:rFonts w:ascii="Times New Roman" w:hAnsi="Times New Roman"/>
                <w:b/>
                <w:sz w:val="28"/>
                <w:szCs w:val="24"/>
              </w:rPr>
              <w:t>giải quyết</w:t>
            </w:r>
          </w:p>
          <w:p w:rsidR="00D52293" w:rsidRPr="007C5328" w:rsidRDefault="00D52293" w:rsidP="007C5328">
            <w:pPr>
              <w:spacing w:before="60" w:after="60"/>
              <w:jc w:val="center"/>
              <w:rPr>
                <w:rFonts w:ascii="Times New Roman" w:hAnsi="Times New Roman"/>
                <w:i/>
                <w:sz w:val="24"/>
                <w:szCs w:val="24"/>
              </w:rPr>
            </w:pPr>
            <w:r w:rsidRPr="007C5328">
              <w:rPr>
                <w:rFonts w:ascii="Times New Roman" w:hAnsi="Times New Roman"/>
                <w:i/>
                <w:sz w:val="24"/>
                <w:szCs w:val="24"/>
              </w:rPr>
              <w:t>(ngày làm việc)</w:t>
            </w:r>
          </w:p>
        </w:tc>
        <w:tc>
          <w:tcPr>
            <w:tcW w:w="1559" w:type="dxa"/>
            <w:vAlign w:val="center"/>
          </w:tcPr>
          <w:p w:rsidR="00D52293" w:rsidRPr="007C5328" w:rsidRDefault="00D52293" w:rsidP="007C5328">
            <w:pPr>
              <w:spacing w:before="60" w:after="60"/>
              <w:jc w:val="center"/>
              <w:rPr>
                <w:rFonts w:ascii="Times New Roman" w:hAnsi="Times New Roman"/>
                <w:b/>
                <w:sz w:val="28"/>
                <w:szCs w:val="24"/>
              </w:rPr>
            </w:pPr>
            <w:r w:rsidRPr="007C5328">
              <w:rPr>
                <w:rFonts w:ascii="Times New Roman" w:hAnsi="Times New Roman"/>
                <w:b/>
                <w:sz w:val="28"/>
                <w:szCs w:val="24"/>
              </w:rPr>
              <w:t xml:space="preserve">Địa điểm </w:t>
            </w:r>
          </w:p>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8"/>
                <w:szCs w:val="24"/>
              </w:rPr>
              <w:t>thực hiện</w:t>
            </w:r>
          </w:p>
        </w:tc>
        <w:tc>
          <w:tcPr>
            <w:tcW w:w="1843" w:type="dxa"/>
            <w:vAlign w:val="center"/>
          </w:tcPr>
          <w:p w:rsidR="00D52293" w:rsidRPr="007C5328" w:rsidRDefault="00D52293" w:rsidP="007C5328">
            <w:pPr>
              <w:spacing w:before="60" w:after="60"/>
              <w:jc w:val="center"/>
              <w:rPr>
                <w:rFonts w:ascii="Times New Roman" w:hAnsi="Times New Roman"/>
                <w:b/>
                <w:sz w:val="28"/>
                <w:szCs w:val="24"/>
              </w:rPr>
            </w:pPr>
            <w:r w:rsidRPr="007C5328">
              <w:rPr>
                <w:rFonts w:ascii="Times New Roman" w:hAnsi="Times New Roman"/>
                <w:b/>
                <w:sz w:val="28"/>
                <w:szCs w:val="24"/>
              </w:rPr>
              <w:t>Phí, lệ phí</w:t>
            </w:r>
          </w:p>
          <w:p w:rsidR="00D52293" w:rsidRPr="007C5328" w:rsidRDefault="00D52293" w:rsidP="007C5328">
            <w:pPr>
              <w:spacing w:before="60" w:after="60"/>
              <w:jc w:val="center"/>
              <w:rPr>
                <w:rFonts w:ascii="Times New Roman" w:hAnsi="Times New Roman"/>
                <w:i/>
                <w:sz w:val="24"/>
                <w:szCs w:val="24"/>
              </w:rPr>
            </w:pPr>
            <w:r w:rsidRPr="007C5328">
              <w:rPr>
                <w:rFonts w:ascii="Times New Roman" w:hAnsi="Times New Roman"/>
                <w:i/>
                <w:sz w:val="24"/>
                <w:szCs w:val="24"/>
              </w:rPr>
              <w:t>(đồng)</w:t>
            </w:r>
          </w:p>
        </w:tc>
        <w:tc>
          <w:tcPr>
            <w:tcW w:w="7024" w:type="dxa"/>
            <w:vAlign w:val="center"/>
          </w:tcPr>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8"/>
                <w:szCs w:val="24"/>
              </w:rPr>
              <w:t>Căn cứ pháp lý</w:t>
            </w:r>
          </w:p>
        </w:tc>
      </w:tr>
      <w:tr w:rsidR="00D52293" w:rsidRPr="004B6F3D" w:rsidTr="007C5328">
        <w:tc>
          <w:tcPr>
            <w:tcW w:w="710" w:type="dxa"/>
            <w:vAlign w:val="center"/>
          </w:tcPr>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4"/>
                <w:szCs w:val="24"/>
              </w:rPr>
              <w:t>I</w:t>
            </w:r>
          </w:p>
        </w:tc>
        <w:tc>
          <w:tcPr>
            <w:tcW w:w="7796" w:type="dxa"/>
            <w:gridSpan w:val="4"/>
          </w:tcPr>
          <w:p w:rsidR="00D52293" w:rsidRPr="007C5328" w:rsidRDefault="00D52293" w:rsidP="007C5328">
            <w:pPr>
              <w:spacing w:before="60" w:after="60"/>
              <w:jc w:val="both"/>
              <w:rPr>
                <w:rFonts w:ascii="Times New Roman" w:hAnsi="Times New Roman"/>
                <w:b/>
                <w:sz w:val="24"/>
                <w:szCs w:val="24"/>
              </w:rPr>
            </w:pPr>
            <w:r w:rsidRPr="007C5328">
              <w:rPr>
                <w:rFonts w:ascii="Times New Roman" w:hAnsi="Times New Roman"/>
                <w:b/>
                <w:sz w:val="24"/>
                <w:szCs w:val="24"/>
              </w:rPr>
              <w:t>LĨNH VỰC HẠ TẦNG KỸ THUẬT (01 TTHC)</w:t>
            </w:r>
          </w:p>
        </w:tc>
        <w:tc>
          <w:tcPr>
            <w:tcW w:w="7024" w:type="dxa"/>
          </w:tcPr>
          <w:p w:rsidR="00D52293" w:rsidRPr="007C5328" w:rsidRDefault="00D52293" w:rsidP="007C5328">
            <w:pPr>
              <w:spacing w:before="60" w:after="60"/>
              <w:jc w:val="both"/>
              <w:rPr>
                <w:rFonts w:ascii="Times New Roman" w:hAnsi="Times New Roman"/>
                <w:b/>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01</w:t>
            </w:r>
          </w:p>
        </w:tc>
        <w:tc>
          <w:tcPr>
            <w:tcW w:w="2551" w:type="dxa"/>
            <w:vAlign w:val="center"/>
          </w:tcPr>
          <w:p w:rsidR="00D52293" w:rsidRPr="007C5328" w:rsidRDefault="00D52293" w:rsidP="007C5328">
            <w:pPr>
              <w:jc w:val="both"/>
              <w:rPr>
                <w:rFonts w:ascii="Times New Roman" w:hAnsi="Times New Roman"/>
                <w:b/>
                <w:sz w:val="24"/>
                <w:szCs w:val="24"/>
              </w:rPr>
            </w:pPr>
            <w:r w:rsidRPr="007C5328">
              <w:rPr>
                <w:rFonts w:ascii="Times New Roman" w:hAnsi="Times New Roman"/>
                <w:b/>
                <w:sz w:val="24"/>
                <w:szCs w:val="24"/>
              </w:rPr>
              <w:t>Cấp giấy phép chặt hạ, dịch chuyển cây xanh đô thị</w:t>
            </w:r>
          </w:p>
        </w:tc>
        <w:tc>
          <w:tcPr>
            <w:tcW w:w="1843"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15 ngày</w:t>
            </w:r>
          </w:p>
        </w:tc>
        <w:tc>
          <w:tcPr>
            <w:tcW w:w="1559"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lang w:val="nl-NL"/>
              </w:rPr>
              <w:t>Trung tâm Hành chính công cấp huyện</w:t>
            </w:r>
          </w:p>
        </w:tc>
        <w:tc>
          <w:tcPr>
            <w:tcW w:w="1843"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Không</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rPr>
              <w:t>- Nghị định số 64/2010/NĐ-CP ngày 11/06/2010 của Chính phủ về việc quản lý cây xanh đô thị;</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rPr>
              <w:t>- Quyết định số 06/2014/QĐ-UBND ngày 27/01/2014 của UBND tỉnh ban hành quy định quản lý cây xanh đô thị trên địa bàn tỉnh Thừa Thiên Huế;</w:t>
            </w:r>
          </w:p>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sz w:val="24"/>
                <w:szCs w:val="24"/>
              </w:rPr>
              <w:t>- Quyết định số 348/QĐ-UBND ngày 22/02/2017 của UBND tỉnh về việc điều chỉnh Danh mục cây xanh kèm theo Quyết định số 06/2014/QĐ-UBND.</w:t>
            </w:r>
          </w:p>
        </w:tc>
      </w:tr>
      <w:tr w:rsidR="00D52293" w:rsidRPr="00F14085" w:rsidTr="007C5328">
        <w:tc>
          <w:tcPr>
            <w:tcW w:w="710" w:type="dxa"/>
            <w:vAlign w:val="center"/>
          </w:tcPr>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4"/>
                <w:szCs w:val="24"/>
              </w:rPr>
              <w:t>II</w:t>
            </w:r>
          </w:p>
        </w:tc>
        <w:tc>
          <w:tcPr>
            <w:tcW w:w="7796" w:type="dxa"/>
            <w:gridSpan w:val="4"/>
          </w:tcPr>
          <w:p w:rsidR="00D52293" w:rsidRPr="007C5328" w:rsidRDefault="00D52293" w:rsidP="007C5328">
            <w:pPr>
              <w:spacing w:before="60" w:after="60"/>
              <w:jc w:val="both"/>
              <w:rPr>
                <w:rFonts w:ascii="Times New Roman" w:hAnsi="Times New Roman"/>
                <w:b/>
                <w:sz w:val="24"/>
                <w:szCs w:val="24"/>
              </w:rPr>
            </w:pPr>
            <w:r w:rsidRPr="007C5328">
              <w:rPr>
                <w:rFonts w:ascii="Times New Roman" w:hAnsi="Times New Roman"/>
                <w:b/>
                <w:sz w:val="24"/>
                <w:szCs w:val="24"/>
              </w:rPr>
              <w:t>LĨNH VỰC HOẠT ĐỘNG XÂY DỰNG (07 TTHC)</w:t>
            </w:r>
          </w:p>
        </w:tc>
        <w:tc>
          <w:tcPr>
            <w:tcW w:w="7024" w:type="dxa"/>
          </w:tcPr>
          <w:p w:rsidR="00D52293" w:rsidRPr="007C5328" w:rsidRDefault="00D52293" w:rsidP="007C5328">
            <w:pPr>
              <w:spacing w:before="60" w:after="60"/>
              <w:jc w:val="both"/>
              <w:rPr>
                <w:rFonts w:ascii="Times New Roman" w:hAnsi="Times New Roman"/>
                <w:b/>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02</w:t>
            </w:r>
          </w:p>
        </w:tc>
        <w:tc>
          <w:tcPr>
            <w:tcW w:w="2551" w:type="dxa"/>
            <w:vAlign w:val="center"/>
          </w:tcPr>
          <w:p w:rsidR="00D52293" w:rsidRPr="007C5328" w:rsidRDefault="00D52293" w:rsidP="007C5328">
            <w:pPr>
              <w:spacing w:before="60" w:after="60" w:line="340" w:lineRule="exact"/>
              <w:ind w:left="-57" w:right="-57"/>
              <w:jc w:val="both"/>
              <w:rPr>
                <w:rFonts w:ascii="Times New Roman" w:hAnsi="Times New Roman"/>
                <w:sz w:val="24"/>
                <w:szCs w:val="24"/>
              </w:rPr>
            </w:pPr>
            <w:r w:rsidRPr="007C5328">
              <w:rPr>
                <w:rFonts w:ascii="Times New Roman" w:hAnsi="Times New Roman"/>
                <w:b/>
                <w:sz w:val="24"/>
                <w:szCs w:val="24"/>
              </w:rPr>
              <w:t>Cấp giấy phép xây dựng mới đối với công trình</w:t>
            </w:r>
            <w:r w:rsidRPr="007C5328">
              <w:rPr>
                <w:rFonts w:ascii="Times New Roman" w:hAnsi="Times New Roman"/>
                <w:sz w:val="24"/>
                <w:szCs w:val="24"/>
              </w:rPr>
              <w:t xml:space="preserve"> (</w:t>
            </w:r>
            <w:r w:rsidRPr="007C5328">
              <w:rPr>
                <w:rFonts w:ascii="Times New Roman" w:hAnsi="Times New Roman"/>
                <w:i/>
                <w:sz w:val="24"/>
                <w:szCs w:val="24"/>
              </w:rPr>
              <w:t>gồm công trình xây dựng không theo tuyến, công trình xây dựng theo tuyến trong đô thị, công trình tôn giáo, dự án, nhà ở riêng lẻ</w:t>
            </w:r>
            <w:r w:rsidRPr="007C5328">
              <w:rPr>
                <w:rFonts w:ascii="Times New Roman" w:hAnsi="Times New Roman"/>
                <w:sz w:val="24"/>
                <w:szCs w:val="24"/>
              </w:rPr>
              <w:t>)</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12 ngày</w:t>
            </w:r>
          </w:p>
        </w:tc>
        <w:tc>
          <w:tcPr>
            <w:tcW w:w="1559" w:type="dxa"/>
          </w:tcPr>
          <w:p w:rsidR="00D52293" w:rsidRPr="007C5328" w:rsidRDefault="00D52293" w:rsidP="007C5328">
            <w:pPr>
              <w:jc w:val="center"/>
              <w:rPr>
                <w:rFonts w:ascii="Times New Roman" w:hAnsi="Times New Roman"/>
                <w:sz w:val="24"/>
                <w:szCs w:val="24"/>
              </w:rPr>
            </w:pPr>
          </w:p>
          <w:p w:rsidR="00D52293" w:rsidRPr="007C5328" w:rsidRDefault="00D52293" w:rsidP="007C5328">
            <w:pPr>
              <w:jc w:val="center"/>
              <w:rPr>
                <w:rFonts w:ascii="Times New Roman" w:hAnsi="Times New Roman"/>
                <w:spacing w:val="-4"/>
                <w:sz w:val="24"/>
                <w:szCs w:val="24"/>
                <w:lang w:val="nl-NL"/>
              </w:rPr>
            </w:pPr>
          </w:p>
          <w:p w:rsidR="00D52293" w:rsidRPr="007C5328" w:rsidRDefault="00D52293" w:rsidP="007C5328">
            <w:pPr>
              <w:jc w:val="center"/>
              <w:rPr>
                <w:rFonts w:ascii="Times New Roman" w:hAnsi="Times New Roman"/>
                <w:spacing w:val="-4"/>
                <w:sz w:val="24"/>
                <w:szCs w:val="24"/>
                <w:lang w:val="nl-NL"/>
              </w:rPr>
            </w:pPr>
          </w:p>
          <w:p w:rsidR="00D52293" w:rsidRPr="007C5328" w:rsidRDefault="00D52293" w:rsidP="007C5328">
            <w:pPr>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Merge w:val="restart"/>
          </w:tcPr>
          <w:p w:rsidR="00D52293" w:rsidRPr="007C5328" w:rsidRDefault="00D52293" w:rsidP="007C5328">
            <w:pPr>
              <w:spacing w:before="60" w:after="60" w:line="340" w:lineRule="exact"/>
              <w:ind w:left="-57" w:right="-57"/>
              <w:jc w:val="center"/>
              <w:rPr>
                <w:rFonts w:ascii="Times New Roman" w:hAnsi="Times New Roman"/>
                <w:sz w:val="24"/>
                <w:szCs w:val="24"/>
                <w:lang w:val="pt-BR"/>
              </w:rPr>
            </w:pPr>
          </w:p>
          <w:p w:rsidR="00D52293" w:rsidRPr="007C5328" w:rsidRDefault="00D52293" w:rsidP="007C5328">
            <w:pPr>
              <w:spacing w:before="60" w:after="60" w:line="340" w:lineRule="exact"/>
              <w:ind w:left="-57" w:right="-57"/>
              <w:jc w:val="center"/>
              <w:rPr>
                <w:rFonts w:ascii="Times New Roman" w:hAnsi="Times New Roman"/>
                <w:sz w:val="24"/>
                <w:szCs w:val="24"/>
                <w:lang w:val="pt-BR"/>
              </w:rPr>
            </w:pPr>
          </w:p>
          <w:p w:rsidR="00D52293" w:rsidRPr="007C5328" w:rsidRDefault="00D52293" w:rsidP="007C5328">
            <w:pPr>
              <w:spacing w:before="60" w:after="60" w:line="340" w:lineRule="exact"/>
              <w:ind w:left="-57" w:right="-57"/>
              <w:jc w:val="center"/>
              <w:rPr>
                <w:rFonts w:ascii="Times New Roman" w:hAnsi="Times New Roman"/>
                <w:sz w:val="24"/>
                <w:szCs w:val="24"/>
                <w:lang w:val="pt-BR"/>
              </w:rPr>
            </w:pPr>
          </w:p>
          <w:p w:rsidR="00D52293" w:rsidRPr="007C5328" w:rsidRDefault="00D52293" w:rsidP="007C5328">
            <w:pPr>
              <w:spacing w:before="60" w:after="60" w:line="340" w:lineRule="exact"/>
              <w:ind w:left="-57" w:right="-57"/>
              <w:jc w:val="center"/>
              <w:rPr>
                <w:rFonts w:ascii="Times New Roman" w:hAnsi="Times New Roman"/>
                <w:sz w:val="24"/>
                <w:szCs w:val="24"/>
                <w:lang w:val="pt-BR"/>
              </w:rPr>
            </w:pPr>
            <w:r w:rsidRPr="007C5328">
              <w:rPr>
                <w:rFonts w:ascii="Times New Roman" w:hAnsi="Times New Roman"/>
                <w:sz w:val="24"/>
                <w:szCs w:val="24"/>
                <w:lang w:val="pt-BR"/>
              </w:rPr>
              <w:t>- Nhà ở riêng lẻ: 50.000 đồng/giấy phép</w:t>
            </w:r>
          </w:p>
          <w:p w:rsidR="00D52293" w:rsidRPr="007C5328" w:rsidRDefault="00D52293" w:rsidP="007C5328">
            <w:pPr>
              <w:ind w:left="-57" w:right="-57"/>
              <w:jc w:val="center"/>
              <w:rPr>
                <w:rFonts w:ascii="Times New Roman" w:hAnsi="Times New Roman"/>
                <w:sz w:val="24"/>
                <w:szCs w:val="24"/>
              </w:rPr>
            </w:pPr>
            <w:r w:rsidRPr="007C5328">
              <w:rPr>
                <w:rFonts w:ascii="Times New Roman" w:hAnsi="Times New Roman"/>
                <w:sz w:val="24"/>
                <w:szCs w:val="24"/>
                <w:lang w:val="pt-BR"/>
              </w:rPr>
              <w:t>- Công trình khác: 100.000 đồng/giấy phép</w:t>
            </w:r>
          </w:p>
        </w:tc>
        <w:tc>
          <w:tcPr>
            <w:tcW w:w="7024" w:type="dxa"/>
            <w:vMerge w:val="restart"/>
          </w:tcPr>
          <w:p w:rsidR="00D52293" w:rsidRPr="007C5328" w:rsidRDefault="00D52293" w:rsidP="007C5328">
            <w:pPr>
              <w:spacing w:before="60" w:after="60" w:line="340" w:lineRule="exact"/>
              <w:jc w:val="both"/>
              <w:rPr>
                <w:rFonts w:ascii="Times New Roman" w:hAnsi="Times New Roman"/>
                <w:sz w:val="24"/>
                <w:szCs w:val="24"/>
                <w:lang w:val="pt-BR"/>
              </w:rPr>
            </w:pPr>
          </w:p>
          <w:p w:rsidR="00D52293" w:rsidRPr="007C5328" w:rsidRDefault="00D52293" w:rsidP="007C5328">
            <w:pPr>
              <w:spacing w:before="60" w:after="60" w:line="340" w:lineRule="exact"/>
              <w:jc w:val="both"/>
              <w:rPr>
                <w:rFonts w:ascii="Times New Roman" w:hAnsi="Times New Roman"/>
                <w:sz w:val="24"/>
                <w:szCs w:val="24"/>
                <w:lang w:val="pt-BR"/>
              </w:rPr>
            </w:pP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Quảng cáo số 16/2012/QH13 ngày 21/6/2012;</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59/2015/NĐ-CP ngày 18/06/2015 của Chính phủ về quản lý dự án đầu tư xây dựng công trình;</w:t>
            </w:r>
          </w:p>
          <w:p w:rsidR="00D52293" w:rsidRPr="007C5328" w:rsidRDefault="00D52293" w:rsidP="007C5328">
            <w:pPr>
              <w:spacing w:before="60" w:after="60" w:line="340" w:lineRule="exact"/>
              <w:jc w:val="both"/>
              <w:rPr>
                <w:rFonts w:ascii="Times New Roman" w:hAnsi="Times New Roman"/>
                <w:i/>
                <w:sz w:val="24"/>
                <w:szCs w:val="24"/>
                <w:lang w:val="pt-BR"/>
              </w:rPr>
            </w:pPr>
            <w:r w:rsidRPr="007C5328">
              <w:rPr>
                <w:rFonts w:ascii="Times New Roman" w:hAnsi="Times New Roman"/>
                <w:sz w:val="24"/>
                <w:szCs w:val="24"/>
                <w:lang w:val="pt-BR"/>
              </w:rPr>
              <w:t>- Nghị định số 42/2017/NĐ-CP ngày 05/4/2017 của Chính phủ</w:t>
            </w:r>
            <w:r w:rsidRPr="007C5328">
              <w:rPr>
                <w:rFonts w:ascii="Times New Roman" w:hAnsi="Times New Roman"/>
                <w:sz w:val="24"/>
                <w:szCs w:val="24"/>
                <w:lang w:val="vi-VN"/>
              </w:rPr>
              <w:t xml:space="preserve"> về sửa đổi, bổ sung một số điều Nghị định số 59/2015/NĐ-CP</w:t>
            </w:r>
            <w:r w:rsidRPr="007C5328">
              <w:rPr>
                <w:rFonts w:ascii="Times New Roman" w:hAnsi="Times New Roman"/>
                <w:i/>
                <w:sz w:val="24"/>
                <w:szCs w:val="24"/>
                <w:lang w:val="pt-BR"/>
              </w:rPr>
              <w:t>;</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Thông tư số 15/2016/TT-BXD ngày 30/6/2016 của Bộ Xây dựng hướng dẫn về cấp giấy phép xây dựng;</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Quyết định số 65/2017/QĐ-UBND ngày 15/8/2017 của UBND tỉnh quy định một số nội dung về cấp giấy phép xây dựng trên địa bàn tỉnh Thừa Thiên Huế;</w:t>
            </w:r>
          </w:p>
          <w:p w:rsidR="00D52293" w:rsidRPr="007C5328" w:rsidRDefault="00D52293" w:rsidP="007C5328">
            <w:pPr>
              <w:jc w:val="both"/>
              <w:rPr>
                <w:rFonts w:ascii="Times New Roman" w:hAnsi="Times New Roman"/>
                <w:sz w:val="24"/>
                <w:szCs w:val="24"/>
              </w:rPr>
            </w:pPr>
            <w:r w:rsidRPr="007C5328">
              <w:rPr>
                <w:rFonts w:ascii="Times New Roman" w:hAnsi="Times New Roman"/>
                <w:bCs/>
                <w:iCs/>
                <w:sz w:val="24"/>
                <w:szCs w:val="24"/>
                <w:lang w:val="pt-BR"/>
              </w:rPr>
              <w:t xml:space="preserve">- Quyết định số </w:t>
            </w:r>
            <w:r w:rsidRPr="007C5328">
              <w:rPr>
                <w:rFonts w:ascii="Times New Roman" w:hAnsi="Times New Roman"/>
                <w:sz w:val="24"/>
                <w:szCs w:val="24"/>
                <w:lang w:val="pt-BR"/>
              </w:rPr>
              <w:t>2811</w:t>
            </w:r>
            <w:r w:rsidRPr="007C5328">
              <w:rPr>
                <w:rFonts w:ascii="Times New Roman" w:hAnsi="Times New Roman"/>
                <w:bCs/>
                <w:iCs/>
                <w:sz w:val="24"/>
                <w:szCs w:val="24"/>
                <w:lang w:val="pt-BR"/>
              </w:rPr>
              <w:t xml:space="preserve">/2009/QĐ-UBND ngày 22/12/2009 của UBND tỉnh </w:t>
            </w:r>
            <w:r w:rsidRPr="007C5328">
              <w:rPr>
                <w:rFonts w:ascii="Times New Roman" w:hAnsi="Times New Roman"/>
                <w:sz w:val="24"/>
                <w:szCs w:val="24"/>
                <w:lang w:val="pt-BR"/>
              </w:rPr>
              <w:t>về việc quy định mức thu, chế độ thu, nộp, quản lý và sử dụng lệ phí cấp giấy phép xây dựng.</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03</w:t>
            </w:r>
          </w:p>
        </w:tc>
        <w:tc>
          <w:tcPr>
            <w:tcW w:w="2551" w:type="dxa"/>
            <w:vAlign w:val="center"/>
          </w:tcPr>
          <w:p w:rsidR="00D52293" w:rsidRPr="007C5328" w:rsidRDefault="00D52293" w:rsidP="007C5328">
            <w:pPr>
              <w:spacing w:before="60" w:after="60" w:line="340" w:lineRule="exact"/>
              <w:ind w:left="-57" w:right="-57"/>
              <w:jc w:val="both"/>
              <w:rPr>
                <w:rFonts w:ascii="Times New Roman" w:hAnsi="Times New Roman"/>
                <w:b/>
                <w:sz w:val="24"/>
                <w:szCs w:val="24"/>
              </w:rPr>
            </w:pPr>
            <w:r w:rsidRPr="007C5328">
              <w:rPr>
                <w:rFonts w:ascii="Times New Roman" w:hAnsi="Times New Roman"/>
                <w:b/>
                <w:sz w:val="24"/>
                <w:szCs w:val="24"/>
              </w:rPr>
              <w:t>Cấp giấy phép sửa chữa, cải tạo công trình</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12 ngày</w:t>
            </w:r>
          </w:p>
        </w:tc>
        <w:tc>
          <w:tcPr>
            <w:tcW w:w="1559" w:type="dxa"/>
            <w:vMerge w:val="restart"/>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Merge/>
          </w:tcPr>
          <w:p w:rsidR="00D52293" w:rsidRPr="007C5328" w:rsidRDefault="00D52293" w:rsidP="007C5328">
            <w:pPr>
              <w:jc w:val="center"/>
              <w:rPr>
                <w:rFonts w:ascii="Times New Roman" w:hAnsi="Times New Roman"/>
                <w:sz w:val="24"/>
                <w:szCs w:val="24"/>
              </w:rPr>
            </w:pPr>
          </w:p>
        </w:tc>
        <w:tc>
          <w:tcPr>
            <w:tcW w:w="7024" w:type="dxa"/>
            <w:vMerge/>
          </w:tcPr>
          <w:p w:rsidR="00D52293" w:rsidRPr="007C5328" w:rsidRDefault="00D52293" w:rsidP="007C5328">
            <w:pPr>
              <w:jc w:val="both"/>
              <w:rPr>
                <w:rFonts w:ascii="Times New Roman" w:hAnsi="Times New Roman"/>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04</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Cấp giấy phép di dời công trình</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 xml:space="preserve">12 ngày </w:t>
            </w:r>
          </w:p>
        </w:tc>
        <w:tc>
          <w:tcPr>
            <w:tcW w:w="1559" w:type="dxa"/>
            <w:vMerge/>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Merge/>
          </w:tcPr>
          <w:p w:rsidR="00D52293" w:rsidRPr="007C5328" w:rsidRDefault="00D52293" w:rsidP="007C5328">
            <w:pPr>
              <w:jc w:val="center"/>
              <w:rPr>
                <w:rFonts w:ascii="Times New Roman" w:hAnsi="Times New Roman"/>
                <w:sz w:val="24"/>
                <w:szCs w:val="24"/>
              </w:rPr>
            </w:pPr>
          </w:p>
        </w:tc>
        <w:tc>
          <w:tcPr>
            <w:tcW w:w="7024" w:type="dxa"/>
            <w:vMerge/>
          </w:tcPr>
          <w:p w:rsidR="00D52293" w:rsidRPr="007C5328" w:rsidRDefault="00D52293" w:rsidP="007C5328">
            <w:pPr>
              <w:jc w:val="both"/>
              <w:rPr>
                <w:rFonts w:ascii="Times New Roman" w:hAnsi="Times New Roman"/>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05</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Điều chỉnh giấy phép xây dựng</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10 ngày</w:t>
            </w:r>
          </w:p>
        </w:tc>
        <w:tc>
          <w:tcPr>
            <w:tcW w:w="1559" w:type="dxa"/>
            <w:vMerge/>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Merge/>
          </w:tcPr>
          <w:p w:rsidR="00D52293" w:rsidRPr="007C5328" w:rsidRDefault="00D52293" w:rsidP="007C5328">
            <w:pPr>
              <w:jc w:val="center"/>
              <w:rPr>
                <w:rFonts w:ascii="Times New Roman" w:hAnsi="Times New Roman"/>
                <w:sz w:val="24"/>
                <w:szCs w:val="24"/>
              </w:rPr>
            </w:pPr>
          </w:p>
        </w:tc>
        <w:tc>
          <w:tcPr>
            <w:tcW w:w="7024" w:type="dxa"/>
            <w:vMerge/>
          </w:tcPr>
          <w:p w:rsidR="00D52293" w:rsidRPr="007C5328" w:rsidRDefault="00D52293" w:rsidP="007C5328">
            <w:pPr>
              <w:jc w:val="both"/>
              <w:rPr>
                <w:rFonts w:ascii="Times New Roman" w:hAnsi="Times New Roman"/>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06</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Gia hạn giấy phép xây dựng</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05 ngày</w:t>
            </w:r>
          </w:p>
        </w:tc>
        <w:tc>
          <w:tcPr>
            <w:tcW w:w="1559" w:type="dxa"/>
            <w:vMerge/>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t-BR"/>
              </w:rPr>
              <w:t>10.000 đồng/ 1 lần gia hạn giấy phép.</w:t>
            </w:r>
          </w:p>
        </w:tc>
        <w:tc>
          <w:tcPr>
            <w:tcW w:w="7024" w:type="dxa"/>
            <w:vMerge/>
          </w:tcPr>
          <w:p w:rsidR="00D52293" w:rsidRPr="007C5328" w:rsidRDefault="00D52293" w:rsidP="007C5328">
            <w:pPr>
              <w:jc w:val="both"/>
              <w:rPr>
                <w:rFonts w:ascii="Times New Roman" w:hAnsi="Times New Roman"/>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07</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Cấp lại giấy phép xây dựng</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 xml:space="preserve">05 ngày </w:t>
            </w:r>
          </w:p>
        </w:tc>
        <w:tc>
          <w:tcPr>
            <w:tcW w:w="1559" w:type="dxa"/>
            <w:vMerge/>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Align w:val="center"/>
          </w:tcPr>
          <w:p w:rsidR="00D52293" w:rsidRPr="007C5328" w:rsidRDefault="00D52293" w:rsidP="007C5328">
            <w:pPr>
              <w:spacing w:before="60" w:after="60" w:line="340" w:lineRule="exact"/>
              <w:ind w:left="-113" w:right="-113"/>
              <w:jc w:val="center"/>
              <w:rPr>
                <w:rFonts w:ascii="Times New Roman" w:hAnsi="Times New Roman"/>
                <w:sz w:val="24"/>
                <w:szCs w:val="24"/>
                <w:lang w:val="pt-BR"/>
              </w:rPr>
            </w:pPr>
            <w:r w:rsidRPr="007C5328">
              <w:rPr>
                <w:rFonts w:ascii="Times New Roman" w:hAnsi="Times New Roman"/>
                <w:sz w:val="24"/>
                <w:szCs w:val="24"/>
                <w:lang w:val="pt-BR"/>
              </w:rPr>
              <w:t>- Nhà ở riêng lẻ: 50.000 đồng/giấy phép</w:t>
            </w:r>
          </w:p>
          <w:p w:rsidR="00D52293" w:rsidRPr="007C5328" w:rsidRDefault="00D52293" w:rsidP="007C5328">
            <w:pPr>
              <w:spacing w:before="60" w:after="60" w:line="340" w:lineRule="exact"/>
              <w:ind w:left="-113" w:right="-113"/>
              <w:jc w:val="center"/>
              <w:rPr>
                <w:rFonts w:ascii="Times New Roman" w:hAnsi="Times New Roman"/>
                <w:sz w:val="24"/>
                <w:szCs w:val="24"/>
                <w:lang w:val="pt-BR"/>
              </w:rPr>
            </w:pPr>
            <w:r w:rsidRPr="007C5328">
              <w:rPr>
                <w:rFonts w:ascii="Times New Roman" w:hAnsi="Times New Roman"/>
                <w:sz w:val="24"/>
                <w:szCs w:val="24"/>
                <w:lang w:val="pt-BR"/>
              </w:rPr>
              <w:t>- Công trình khác: 100.000 đồng/giấy phép</w:t>
            </w:r>
          </w:p>
        </w:tc>
        <w:tc>
          <w:tcPr>
            <w:tcW w:w="7024" w:type="dxa"/>
            <w:vMerge/>
          </w:tcPr>
          <w:p w:rsidR="00D52293" w:rsidRPr="007C5328" w:rsidRDefault="00D52293" w:rsidP="007C5328">
            <w:pPr>
              <w:jc w:val="both"/>
              <w:rPr>
                <w:rFonts w:ascii="Times New Roman" w:hAnsi="Times New Roman"/>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08</w:t>
            </w:r>
          </w:p>
        </w:tc>
        <w:tc>
          <w:tcPr>
            <w:tcW w:w="2551" w:type="dxa"/>
            <w:vAlign w:val="center"/>
          </w:tcPr>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b/>
                <w:sz w:val="24"/>
                <w:szCs w:val="24"/>
              </w:rPr>
              <w:t>Thẩm định Báo cáo kinh tế - kỹ thuật/ Báo cáo kinh tế - kỹ thuật điều chỉnh; thiết kế bản vẽ thi công, dự toán xây dựng/ thiết kế bản vẽ thi công, dự toán xây dựng điều chỉnh (trường hợp thiết kế 1 bước)</w:t>
            </w:r>
            <w:r w:rsidRPr="007C5328">
              <w:rPr>
                <w:rFonts w:ascii="Times New Roman" w:hAnsi="Times New Roman"/>
                <w:sz w:val="24"/>
                <w:szCs w:val="24"/>
              </w:rPr>
              <w:t xml:space="preserve"> </w:t>
            </w:r>
            <w:r w:rsidRPr="007C5328">
              <w:rPr>
                <w:rFonts w:ascii="Times New Roman" w:hAnsi="Times New Roman"/>
                <w:i/>
                <w:sz w:val="24"/>
                <w:szCs w:val="24"/>
              </w:rPr>
              <w:t>(quy định tại Điều 5, Điều 10, Điều 13 Nghị định 59/2015/NĐ-CP; Điều 11 và Điều 12 Thông tư số 18/2016/TT-BXD)</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20 ngày</w:t>
            </w:r>
          </w:p>
        </w:tc>
        <w:tc>
          <w:tcPr>
            <w:tcW w:w="1559"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Theo quy định của Bộ Tài chính</w:t>
            </w:r>
          </w:p>
        </w:tc>
        <w:tc>
          <w:tcPr>
            <w:tcW w:w="7024" w:type="dxa"/>
          </w:tcPr>
          <w:p w:rsidR="00D52293" w:rsidRPr="007C5328" w:rsidRDefault="00D52293" w:rsidP="007C5328">
            <w:pPr>
              <w:spacing w:before="60" w:after="60" w:line="340" w:lineRule="exact"/>
              <w:jc w:val="both"/>
              <w:rPr>
                <w:rFonts w:ascii="Times New Roman" w:hAnsi="Times New Roman"/>
                <w:sz w:val="24"/>
                <w:szCs w:val="24"/>
                <w:lang w:val="pt-BR"/>
              </w:rPr>
            </w:pPr>
          </w:p>
          <w:p w:rsidR="00D52293" w:rsidRPr="007C5328" w:rsidRDefault="00D52293" w:rsidP="007C5328">
            <w:pPr>
              <w:spacing w:before="60" w:after="60" w:line="340" w:lineRule="exact"/>
              <w:jc w:val="both"/>
              <w:rPr>
                <w:rFonts w:ascii="Times New Roman" w:hAnsi="Times New Roman"/>
                <w:sz w:val="24"/>
                <w:szCs w:val="24"/>
                <w:lang w:val="pt-BR"/>
              </w:rPr>
            </w:pP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59/2015/NĐ-CP ngày 18/06/2015 của Chính phủ về quản lý dự án đầu tư xây dựng công trình;</w:t>
            </w:r>
          </w:p>
          <w:p w:rsidR="00D52293" w:rsidRPr="007C5328" w:rsidRDefault="00D52293" w:rsidP="007C5328">
            <w:pPr>
              <w:spacing w:before="60" w:after="60" w:line="340" w:lineRule="exact"/>
              <w:ind w:left="-57"/>
              <w:jc w:val="both"/>
              <w:rPr>
                <w:rFonts w:ascii="Times New Roman" w:hAnsi="Times New Roman"/>
                <w:i/>
                <w:sz w:val="24"/>
                <w:szCs w:val="24"/>
                <w:lang w:val="pt-BR"/>
              </w:rPr>
            </w:pPr>
            <w:r w:rsidRPr="007C5328">
              <w:rPr>
                <w:rFonts w:ascii="Times New Roman" w:hAnsi="Times New Roman"/>
                <w:sz w:val="24"/>
                <w:szCs w:val="24"/>
                <w:lang w:val="pt-BR"/>
              </w:rPr>
              <w:t>- Nghị định số 42/2017/NĐ-CP ngày 05/4/2017</w:t>
            </w:r>
            <w:r w:rsidRPr="007C5328">
              <w:rPr>
                <w:rFonts w:ascii="Times New Roman" w:hAnsi="Times New Roman"/>
                <w:sz w:val="24"/>
                <w:szCs w:val="24"/>
                <w:lang w:val="vi-VN"/>
              </w:rPr>
              <w:t xml:space="preserve"> của Chính phủ về sửa đổi, bổ sung một số điều Nghị định số 59/2015/NĐ-CP</w:t>
            </w:r>
            <w:r w:rsidRPr="007C5328">
              <w:rPr>
                <w:rFonts w:ascii="Times New Roman" w:hAnsi="Times New Roman"/>
                <w:i/>
                <w:sz w:val="24"/>
                <w:szCs w:val="24"/>
                <w:lang w:val="pt-BR"/>
              </w:rPr>
              <w:t>;</w:t>
            </w:r>
          </w:p>
          <w:p w:rsidR="00D52293" w:rsidRPr="007C5328" w:rsidRDefault="00D52293" w:rsidP="007C5328">
            <w:pPr>
              <w:spacing w:before="60" w:after="60" w:line="340" w:lineRule="exact"/>
              <w:ind w:left="-57" w:right="-57"/>
              <w:jc w:val="both"/>
              <w:rPr>
                <w:rFonts w:ascii="Times New Roman" w:hAnsi="Times New Roman"/>
                <w:sz w:val="24"/>
                <w:szCs w:val="24"/>
                <w:lang w:val="pt-BR"/>
              </w:rPr>
            </w:pPr>
            <w:r w:rsidRPr="007C5328">
              <w:rPr>
                <w:rFonts w:ascii="Times New Roman" w:hAnsi="Times New Roman"/>
                <w:sz w:val="24"/>
                <w:szCs w:val="24"/>
                <w:lang w:val="pt-BR"/>
              </w:rPr>
              <w:t>- Thông tư số 03/2016/TT-BXD ngày 10/3/2016 của Bộ Xây dựng quy định về phân cấp công trình xây dựng và hướng dẫn áp dụng trong quản lý hoạt động đầu tư XD;</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xml:space="preserve">- Thông tư số 18/2016/TT-BXD ngày 10/3/2016 của Bộ Xây dựng quy định chi tiết và hướng dẫn một số nội dung về thẩm định, phê duyệt dự án và thiết kế, dự toán xây dựng công trình. </w:t>
            </w:r>
          </w:p>
        </w:tc>
      </w:tr>
      <w:tr w:rsidR="00D52293" w:rsidRPr="00C40531" w:rsidTr="007C5328">
        <w:tc>
          <w:tcPr>
            <w:tcW w:w="710" w:type="dxa"/>
            <w:vAlign w:val="center"/>
          </w:tcPr>
          <w:p w:rsidR="00D52293" w:rsidRPr="007C5328" w:rsidRDefault="00D52293" w:rsidP="007C5328">
            <w:pPr>
              <w:spacing w:before="60" w:after="60"/>
              <w:jc w:val="center"/>
              <w:rPr>
                <w:rFonts w:ascii="Times New Roman" w:hAnsi="Times New Roman"/>
                <w:b/>
                <w:sz w:val="24"/>
                <w:szCs w:val="24"/>
              </w:rPr>
            </w:pPr>
            <w:r w:rsidRPr="007C5328">
              <w:rPr>
                <w:rFonts w:ascii="Times New Roman" w:hAnsi="Times New Roman"/>
                <w:b/>
                <w:sz w:val="24"/>
                <w:szCs w:val="24"/>
              </w:rPr>
              <w:t>III</w:t>
            </w:r>
          </w:p>
        </w:tc>
        <w:tc>
          <w:tcPr>
            <w:tcW w:w="7796" w:type="dxa"/>
            <w:gridSpan w:val="4"/>
            <w:vAlign w:val="center"/>
          </w:tcPr>
          <w:p w:rsidR="00D52293" w:rsidRPr="007C5328" w:rsidRDefault="00D52293" w:rsidP="007C5328">
            <w:pPr>
              <w:spacing w:before="60" w:after="60"/>
              <w:jc w:val="both"/>
              <w:rPr>
                <w:rFonts w:ascii="Times New Roman" w:hAnsi="Times New Roman"/>
                <w:b/>
                <w:sz w:val="24"/>
                <w:szCs w:val="24"/>
              </w:rPr>
            </w:pPr>
            <w:r w:rsidRPr="007C5328">
              <w:rPr>
                <w:rFonts w:ascii="Times New Roman" w:hAnsi="Times New Roman"/>
                <w:b/>
                <w:sz w:val="24"/>
                <w:szCs w:val="24"/>
              </w:rPr>
              <w:t>LĨNH VỰC QUY HOẠCH (09 TTHC)</w:t>
            </w:r>
          </w:p>
        </w:tc>
        <w:tc>
          <w:tcPr>
            <w:tcW w:w="7024" w:type="dxa"/>
          </w:tcPr>
          <w:p w:rsidR="00D52293" w:rsidRPr="007C5328" w:rsidRDefault="00D52293" w:rsidP="007C5328">
            <w:pPr>
              <w:spacing w:before="60" w:after="60"/>
              <w:jc w:val="both"/>
              <w:rPr>
                <w:rFonts w:ascii="Times New Roman" w:hAnsi="Times New Roman"/>
                <w:b/>
                <w:sz w:val="24"/>
                <w:szCs w:val="24"/>
              </w:rPr>
            </w:pP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09</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Cấp chứng chỉ quy hoạch</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t-BR"/>
              </w:rPr>
            </w:pPr>
            <w:r w:rsidRPr="007C5328">
              <w:rPr>
                <w:rFonts w:ascii="Times New Roman" w:hAnsi="Times New Roman"/>
                <w:sz w:val="24"/>
                <w:szCs w:val="24"/>
                <w:lang w:val="pt-BR"/>
              </w:rPr>
              <w:t>05 ngày</w:t>
            </w:r>
          </w:p>
        </w:tc>
        <w:tc>
          <w:tcPr>
            <w:tcW w:w="1559" w:type="dxa"/>
            <w:vMerge w:val="restart"/>
            <w:vAlign w:val="center"/>
          </w:tcPr>
          <w:p w:rsidR="00D52293" w:rsidRPr="007C5328" w:rsidRDefault="00D52293" w:rsidP="007C5328">
            <w:pPr>
              <w:spacing w:before="60" w:after="60" w:line="340" w:lineRule="exact"/>
              <w:jc w:val="center"/>
              <w:rPr>
                <w:rFonts w:ascii="Times New Roman" w:hAnsi="Times New Roman"/>
                <w:spacing w:val="-4"/>
                <w:sz w:val="24"/>
                <w:szCs w:val="24"/>
                <w:lang w:val="nl-NL"/>
              </w:rPr>
            </w:pPr>
            <w:r w:rsidRPr="007C5328">
              <w:rPr>
                <w:rFonts w:ascii="Times New Roman" w:hAnsi="Times New Roman"/>
                <w:spacing w:val="-4"/>
                <w:sz w:val="24"/>
                <w:szCs w:val="24"/>
                <w:lang w:val="nl-NL"/>
              </w:rPr>
              <w:t>Trung tâm Hành chính công cấp huyện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t-BR"/>
              </w:rPr>
            </w:pPr>
            <w:r w:rsidRPr="007C5328">
              <w:rPr>
                <w:rFonts w:ascii="Times New Roman" w:hAnsi="Times New Roman"/>
                <w:sz w:val="24"/>
                <w:szCs w:val="24"/>
                <w:lang w:val="pt-BR"/>
              </w:rPr>
              <w:t>Không</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xml:space="preserve">- Quyết định 63/2016/QĐ-UBND ngày 21/9/2016 của UBND tỉnh ban hành quy định về việc phân công, phân cấp và ủy quyền công tác quản lý quy hoạch – kiến trúc </w:t>
            </w:r>
            <w:r w:rsidRPr="007C5328">
              <w:rPr>
                <w:rFonts w:ascii="Times New Roman" w:hAnsi="Times New Roman"/>
                <w:bCs/>
                <w:sz w:val="24"/>
                <w:szCs w:val="24"/>
                <w:lang w:val="pl-PL"/>
              </w:rPr>
              <w:t>xây</w:t>
            </w:r>
            <w:r w:rsidRPr="007C5328">
              <w:rPr>
                <w:rFonts w:ascii="Times New Roman" w:hAnsi="Times New Roman"/>
                <w:sz w:val="24"/>
                <w:szCs w:val="24"/>
                <w:lang w:val="pt-BR"/>
              </w:rPr>
              <w:t xml:space="preserve">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10</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lang w:val="pt-BR"/>
              </w:rPr>
            </w:pPr>
            <w:r w:rsidRPr="007C5328">
              <w:rPr>
                <w:rFonts w:ascii="Times New Roman" w:hAnsi="Times New Roman"/>
                <w:b/>
                <w:sz w:val="24"/>
                <w:szCs w:val="24"/>
              </w:rPr>
              <w:t>Cấp giấy phép quy hoạch</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15 ngày</w:t>
            </w:r>
          </w:p>
        </w:tc>
        <w:tc>
          <w:tcPr>
            <w:tcW w:w="1559"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rPr>
              <w:t>2.000.000 đồng/giấy phép</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37/2010/NĐ-CP ngày 07/4/2010 của Chính phủ về lập, thẩm định, phê duyệt và quản lý quy hoạch đô thị;</w:t>
            </w:r>
          </w:p>
          <w:p w:rsidR="00D52293" w:rsidRPr="007C5328" w:rsidRDefault="00D52293" w:rsidP="007C5328">
            <w:pPr>
              <w:spacing w:before="60" w:after="60" w:line="340" w:lineRule="exact"/>
              <w:ind w:left="-57" w:right="-57"/>
              <w:jc w:val="both"/>
              <w:rPr>
                <w:rFonts w:ascii="Times New Roman" w:hAnsi="Times New Roman"/>
                <w:bCs/>
                <w:sz w:val="24"/>
                <w:szCs w:val="24"/>
                <w:lang w:val="pl-PL"/>
              </w:rPr>
            </w:pPr>
            <w:r w:rsidRPr="007C5328">
              <w:rPr>
                <w:rFonts w:ascii="Times New Roman" w:hAnsi="Times New Roman"/>
                <w:sz w:val="24"/>
                <w:szCs w:val="24"/>
                <w:lang w:val="pt-BR"/>
              </w:rPr>
              <w:t xml:space="preserve">- Thông tư số </w:t>
            </w:r>
            <w:r w:rsidRPr="007C5328">
              <w:rPr>
                <w:rFonts w:ascii="Times New Roman" w:hAnsi="Times New Roman"/>
                <w:bCs/>
                <w:sz w:val="24"/>
                <w:szCs w:val="24"/>
                <w:lang w:val="pl-PL"/>
              </w:rPr>
              <w:t xml:space="preserve">171/2016/TT-BTC </w:t>
            </w:r>
            <w:r w:rsidRPr="007C5328">
              <w:rPr>
                <w:rFonts w:ascii="Times New Roman" w:hAnsi="Times New Roman"/>
                <w:sz w:val="24"/>
                <w:szCs w:val="24"/>
                <w:lang w:val="pt-BR"/>
              </w:rPr>
              <w:t xml:space="preserve">ngày 27/10/2016 của Bộ Tài chính về việc </w:t>
            </w:r>
            <w:r w:rsidRPr="007C5328">
              <w:rPr>
                <w:rFonts w:ascii="Times New Roman" w:hAnsi="Times New Roman"/>
                <w:bCs/>
                <w:sz w:val="24"/>
                <w:szCs w:val="24"/>
                <w:lang w:val="pl-PL"/>
              </w:rPr>
              <w:t xml:space="preserve">quy định mức thu, chế độ thu, nộp lệ phí cấp giấy phép quy hoạch; </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11</w:t>
            </w:r>
          </w:p>
        </w:tc>
        <w:tc>
          <w:tcPr>
            <w:tcW w:w="2551" w:type="dxa"/>
            <w:vAlign w:val="center"/>
          </w:tcPr>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b/>
                <w:sz w:val="24"/>
                <w:szCs w:val="24"/>
              </w:rPr>
              <w:t>Thẩm định, phê duyệt nhiệm vụ quy hoạch khu chức năng đặc thù</w:t>
            </w:r>
            <w:r w:rsidRPr="007C5328">
              <w:rPr>
                <w:rFonts w:ascii="Times New Roman" w:hAnsi="Times New Roman"/>
                <w:sz w:val="24"/>
                <w:szCs w:val="24"/>
              </w:rPr>
              <w:t xml:space="preserve"> </w:t>
            </w:r>
            <w:r w:rsidRPr="007C5328">
              <w:rPr>
                <w:rFonts w:ascii="Times New Roman" w:hAnsi="Times New Roman"/>
                <w:i/>
                <w:sz w:val="24"/>
                <w:szCs w:val="24"/>
              </w:rPr>
              <w:t>(gồm quy hoạch phân khu, quy hoạch chi tiết)</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15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12 ngày; UBND cấp huyện: 03 ngày)</w:t>
            </w:r>
          </w:p>
        </w:tc>
        <w:tc>
          <w:tcPr>
            <w:tcW w:w="1559"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t-BR"/>
              </w:rPr>
              <w:t>Thu theo quyết định phê duyệt nhiệm vụ quy hoạch hoặc dự toán chi phí quy hoạch được phê duyệt</w:t>
            </w:r>
          </w:p>
        </w:tc>
        <w:tc>
          <w:tcPr>
            <w:tcW w:w="7024" w:type="dxa"/>
            <w:vAlign w:val="center"/>
          </w:tcPr>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ind w:left="-57" w:right="-113"/>
              <w:jc w:val="both"/>
              <w:rPr>
                <w:rFonts w:ascii="Times New Roman" w:hAnsi="Times New Roman"/>
                <w:sz w:val="24"/>
                <w:szCs w:val="24"/>
                <w:lang w:val="pt-BR"/>
              </w:rPr>
            </w:pPr>
            <w:r w:rsidRPr="007C5328">
              <w:rPr>
                <w:rFonts w:ascii="Times New Roman" w:hAnsi="Times New Roman"/>
                <w:sz w:val="24"/>
                <w:szCs w:val="24"/>
                <w:lang w:val="pt-BR"/>
              </w:rPr>
              <w:t>- Thông tư số 05/2017/TT-BXD ngày 05/4/2017 của Bộ Xây dựng hướng dẫn xác định, quản lý chi phí quy hoạch XD và quy hoạch đô thị;</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Thông tư số 12/2016/TT-BXD ngày 29/6/2016 của Bộ Xây dựng quy định về hồ sơ của nhiệm vụ và đồ án quy hoạch xây dựng vùng, quy hoạch đô thị và quy hoạch xây dựng khu chức năng đặc thù;</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12</w:t>
            </w:r>
          </w:p>
        </w:tc>
        <w:tc>
          <w:tcPr>
            <w:tcW w:w="2551" w:type="dxa"/>
            <w:vAlign w:val="center"/>
          </w:tcPr>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b/>
                <w:sz w:val="24"/>
                <w:szCs w:val="24"/>
              </w:rPr>
              <w:t>Thẩm định, phê duyệt nhiệm vụ quy hoạch đô thị</w:t>
            </w:r>
            <w:r w:rsidRPr="007C5328">
              <w:rPr>
                <w:rFonts w:ascii="Times New Roman" w:hAnsi="Times New Roman"/>
                <w:sz w:val="24"/>
                <w:szCs w:val="24"/>
              </w:rPr>
              <w:t xml:space="preserve"> </w:t>
            </w:r>
            <w:r w:rsidRPr="007C5328">
              <w:rPr>
                <w:rFonts w:ascii="Times New Roman" w:hAnsi="Times New Roman"/>
                <w:i/>
                <w:sz w:val="24"/>
                <w:szCs w:val="24"/>
              </w:rPr>
              <w:t>(gồm quy hoạch phân khu, quy hoạch chi tiết)</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15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12 ngày; UBND cấp huyện: 03 ngày)</w:t>
            </w:r>
          </w:p>
        </w:tc>
        <w:tc>
          <w:tcPr>
            <w:tcW w:w="1559" w:type="dxa"/>
            <w:vMerge w:val="restart"/>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Merge w:val="restart"/>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t-BR"/>
              </w:rPr>
              <w:t>Thu theo quyết định phê duyệt nhiệm vụ quy hoạch hoặc dự toán chi phí quy hoạch được phê duyệt</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37/2010/NĐ-CP ngày 07/4/2010 của Chính phủ về lập, thẩm định, phê duyệt và quản lý quy hoạch đô thị;</w:t>
            </w:r>
          </w:p>
          <w:p w:rsidR="00D52293" w:rsidRPr="007C5328" w:rsidRDefault="00D52293" w:rsidP="007C5328">
            <w:pPr>
              <w:spacing w:before="60" w:after="60" w:line="340" w:lineRule="exact"/>
              <w:ind w:left="-57" w:right="-113"/>
              <w:jc w:val="both"/>
              <w:rPr>
                <w:rFonts w:ascii="Times New Roman" w:hAnsi="Times New Roman"/>
                <w:sz w:val="24"/>
                <w:szCs w:val="24"/>
                <w:lang w:val="pt-BR"/>
              </w:rPr>
            </w:pPr>
            <w:r w:rsidRPr="007C5328">
              <w:rPr>
                <w:rFonts w:ascii="Times New Roman" w:hAnsi="Times New Roman"/>
                <w:sz w:val="24"/>
                <w:szCs w:val="24"/>
                <w:lang w:val="pt-BR"/>
              </w:rPr>
              <w:t>- Thông tư số 05/2017/TT-BXD ngày 05/4/2017 của Bộ Xây dựng hướng dẫn xác định, quản lý chi phí quy hoạch XD và quy hoạch đô thị;</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Thông tư số 12/2016/TT-BXD ngày 29/6/2016 của Bộ Xây dựng quy định về hồ sơ của nhiệm vụ và đồ án quy hoạch xây dựng vùng, quy hoạch đô thị và quy hoạch xây dựng khu chức năng đặc thù;</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13</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Thẩm định, phê duyệt nhiệm vụ quy hoạch xây dựng nông thôn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15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12 ngày; UBND cấp huyện: 03 ngày)</w:t>
            </w:r>
          </w:p>
        </w:tc>
        <w:tc>
          <w:tcPr>
            <w:tcW w:w="1559"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7024" w:type="dxa"/>
            <w:vAlign w:val="center"/>
          </w:tcPr>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ind w:left="-57" w:right="-113"/>
              <w:jc w:val="both"/>
              <w:rPr>
                <w:rFonts w:ascii="Times New Roman" w:hAnsi="Times New Roman"/>
                <w:sz w:val="24"/>
                <w:szCs w:val="24"/>
                <w:lang w:val="pt-BR"/>
              </w:rPr>
            </w:pPr>
            <w:r w:rsidRPr="007C5328">
              <w:rPr>
                <w:rFonts w:ascii="Times New Roman" w:hAnsi="Times New Roman"/>
                <w:sz w:val="24"/>
                <w:szCs w:val="24"/>
                <w:lang w:val="pt-BR"/>
              </w:rPr>
              <w:t>- Thông tư số 05/2017/TT-BXD ngày 05/4/2017 của Bộ Xây dựng hướng dẫn xác định, quản lý chi phí quy hoạch XD và quy hoạch đô thị;</w:t>
            </w:r>
          </w:p>
          <w:p w:rsidR="00D52293" w:rsidRPr="007C5328" w:rsidRDefault="00D52293" w:rsidP="007C5328">
            <w:pPr>
              <w:spacing w:before="60" w:after="60" w:line="340" w:lineRule="exact"/>
              <w:ind w:left="-57" w:right="-57"/>
              <w:jc w:val="both"/>
              <w:rPr>
                <w:rFonts w:ascii="Times New Roman" w:hAnsi="Times New Roman"/>
                <w:sz w:val="24"/>
                <w:szCs w:val="24"/>
                <w:lang w:val="pt-BR"/>
              </w:rPr>
            </w:pPr>
            <w:r w:rsidRPr="007C5328">
              <w:rPr>
                <w:rFonts w:ascii="Times New Roman" w:hAnsi="Times New Roman"/>
                <w:sz w:val="24"/>
                <w:szCs w:val="24"/>
                <w:lang w:val="pt-BR"/>
              </w:rPr>
              <w:t>- Thông tư số 02/2017/TT-BXD ngày 01/3/2017 của Bộ Xây dựng hướng dẫn về quy hoạch xây dựng nông thôn;</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14</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b/>
                <w:sz w:val="24"/>
                <w:szCs w:val="24"/>
              </w:rPr>
              <w:t>Thẩm định, phê duyệt đồ án quy hoạch đô thị</w:t>
            </w:r>
            <w:r w:rsidRPr="007C5328">
              <w:rPr>
                <w:rFonts w:ascii="Times New Roman" w:hAnsi="Times New Roman"/>
                <w:sz w:val="24"/>
                <w:szCs w:val="24"/>
              </w:rPr>
              <w:t xml:space="preserve"> </w:t>
            </w:r>
            <w:r w:rsidRPr="007C5328">
              <w:rPr>
                <w:rFonts w:ascii="Times New Roman" w:hAnsi="Times New Roman"/>
                <w:i/>
                <w:sz w:val="24"/>
                <w:szCs w:val="24"/>
              </w:rPr>
              <w:t>(gồm quy hoạch phân khu, quy hoạch chi tiết)</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p>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25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20 ngày; UBND cấp huyện: 05 ngày)</w:t>
            </w:r>
          </w:p>
        </w:tc>
        <w:tc>
          <w:tcPr>
            <w:tcW w:w="1559" w:type="dxa"/>
            <w:vAlign w:val="center"/>
          </w:tcPr>
          <w:p w:rsidR="00D52293" w:rsidRPr="007C5328" w:rsidRDefault="00D52293" w:rsidP="007C5328">
            <w:pPr>
              <w:spacing w:before="60" w:after="60" w:line="340" w:lineRule="exact"/>
              <w:jc w:val="center"/>
              <w:rPr>
                <w:rFonts w:ascii="Times New Roman" w:hAnsi="Times New Roman"/>
                <w:spacing w:val="-4"/>
                <w:sz w:val="24"/>
                <w:szCs w:val="24"/>
                <w:lang w:val="nl-NL"/>
              </w:rPr>
            </w:pP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t-BR"/>
              </w:rPr>
            </w:pP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t-BR"/>
              </w:rPr>
              <w:t>Thu theo quyết định phê duyệt nhiệm vụ quy hoạch hoặc dự toán chi phí quy hoạch được phê duyệt.</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Nghị định số 37/2010/NĐ-CP ngày 07/4/2010 của Chính phủ về lập, thẩm định, phê duyệt và quản lý quy hoạch đô thị;</w:t>
            </w:r>
          </w:p>
          <w:p w:rsidR="00D52293" w:rsidRPr="007C5328" w:rsidRDefault="00D52293" w:rsidP="007C5328">
            <w:pPr>
              <w:spacing w:before="60" w:after="60" w:line="340" w:lineRule="exact"/>
              <w:ind w:left="-57" w:right="-113"/>
              <w:jc w:val="both"/>
              <w:rPr>
                <w:rFonts w:ascii="Times New Roman" w:hAnsi="Times New Roman"/>
                <w:sz w:val="24"/>
                <w:szCs w:val="24"/>
                <w:lang w:val="pt-BR"/>
              </w:rPr>
            </w:pPr>
            <w:r w:rsidRPr="007C5328">
              <w:rPr>
                <w:rFonts w:ascii="Times New Roman" w:hAnsi="Times New Roman"/>
                <w:sz w:val="24"/>
                <w:szCs w:val="24"/>
                <w:lang w:val="pt-BR"/>
              </w:rPr>
              <w:t>- Thông tư số 05/2017/TT-BXD ngày 05/4/2017 của Bộ Xây dựng hướng dẫn xác định, quản lý chi phí quy hoạch XD và quy hoạch đô thị;</w:t>
            </w:r>
          </w:p>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sz w:val="24"/>
                <w:szCs w:val="24"/>
                <w:lang w:val="pt-BR"/>
              </w:rPr>
              <w:t>- Thông tư số 12/2016/TT-BXD ngày 29/6/2016 của Bộ Xây dựng quy định về hồ sơ của nhiệm vụ và đồ án quy hoạch xây dựng vùng, quy hoạch đô thị và quy hoạch xây dựng khu chức năng đặc thù;</w:t>
            </w:r>
          </w:p>
          <w:p w:rsidR="00D52293" w:rsidRPr="007C5328" w:rsidRDefault="00D52293" w:rsidP="007C5328">
            <w:pPr>
              <w:spacing w:before="60" w:after="60" w:line="340" w:lineRule="exact"/>
              <w:jc w:val="both"/>
              <w:rPr>
                <w:rFonts w:ascii="Times New Roman" w:hAnsi="Times New Roman"/>
                <w:sz w:val="24"/>
                <w:szCs w:val="24"/>
              </w:rPr>
            </w:pPr>
            <w:r w:rsidRPr="007C5328">
              <w:rPr>
                <w:rFonts w:ascii="Times New Roman" w:hAnsi="Times New Roman"/>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15</w:t>
            </w:r>
          </w:p>
        </w:tc>
        <w:tc>
          <w:tcPr>
            <w:tcW w:w="2551" w:type="dxa"/>
            <w:vAlign w:val="center"/>
          </w:tcPr>
          <w:p w:rsidR="00D52293" w:rsidRPr="007C5328" w:rsidRDefault="00D52293" w:rsidP="007C5328">
            <w:pPr>
              <w:spacing w:before="60" w:after="60" w:line="340" w:lineRule="exact"/>
              <w:jc w:val="both"/>
              <w:rPr>
                <w:rFonts w:ascii="Times New Roman" w:hAnsi="Times New Roman"/>
                <w:sz w:val="24"/>
                <w:szCs w:val="24"/>
                <w:lang w:val="pt-BR"/>
              </w:rPr>
            </w:pPr>
            <w:r w:rsidRPr="007C5328">
              <w:rPr>
                <w:rFonts w:ascii="Times New Roman" w:hAnsi="Times New Roman"/>
                <w:b/>
                <w:sz w:val="24"/>
                <w:szCs w:val="24"/>
              </w:rPr>
              <w:t>Thẩm định, phê duyệt đồ án quy hoạch khu chức năng đặc thù</w:t>
            </w:r>
            <w:r w:rsidRPr="007C5328">
              <w:rPr>
                <w:rFonts w:ascii="Times New Roman" w:hAnsi="Times New Roman"/>
                <w:sz w:val="24"/>
                <w:szCs w:val="24"/>
              </w:rPr>
              <w:t xml:space="preserve"> </w:t>
            </w:r>
            <w:r w:rsidRPr="007C5328">
              <w:rPr>
                <w:rFonts w:ascii="Times New Roman" w:hAnsi="Times New Roman"/>
                <w:i/>
                <w:sz w:val="24"/>
                <w:szCs w:val="24"/>
              </w:rPr>
              <w:t>(gồm quy hoạch phân khu, quy hoạch chi tiết)</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25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20 ngày; UBND cấp huyện: 05 ngày)</w:t>
            </w:r>
          </w:p>
        </w:tc>
        <w:tc>
          <w:tcPr>
            <w:tcW w:w="1559" w:type="dxa"/>
            <w:vMerge w:val="restart"/>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pacing w:val="-4"/>
                <w:sz w:val="24"/>
                <w:szCs w:val="24"/>
                <w:lang w:val="nl-NL"/>
              </w:rPr>
              <w:t>Trung tâm Hành chính công cấp huyện</w:t>
            </w:r>
          </w:p>
        </w:tc>
        <w:tc>
          <w:tcPr>
            <w:tcW w:w="1843" w:type="dxa"/>
            <w:vMerge w:val="restart"/>
            <w:vAlign w:val="center"/>
          </w:tcPr>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t-BR"/>
              </w:rPr>
              <w:t>Thu theo quyết định phê duyệt nhiệm vụ quy hoạch hoặc dự toán chi phí quy hoạch được phê duyệt</w:t>
            </w:r>
          </w:p>
        </w:tc>
        <w:tc>
          <w:tcPr>
            <w:tcW w:w="7024" w:type="dxa"/>
            <w:vAlign w:val="center"/>
          </w:tcPr>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Thông tư số 05/2017/TT-BXD ngày 05/4/2017 của Bộ Xây dựng hướng dẫn xác định, quản lý chi phí quy hoạch XD và quy hoạch đô thị;</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Thông tư số 12/2016/TT-BXD ngày 29/6/2016 của Bộ Xây dựng quy định về hồ sơ của nhiệm vụ và đồ án quy hoạch xây dựng vùng, quy hoạch đô thị và quy hoạch xây dựng khu chức năng đặc thù;</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16</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rPr>
            </w:pPr>
            <w:r w:rsidRPr="007C5328">
              <w:rPr>
                <w:rFonts w:ascii="Times New Roman" w:hAnsi="Times New Roman"/>
                <w:b/>
                <w:sz w:val="24"/>
                <w:szCs w:val="24"/>
              </w:rPr>
              <w:t>Thẩm định, phê duyệt đồ án quy hoạch xây dựng nông thôn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25 ngày</w:t>
            </w:r>
          </w:p>
          <w:p w:rsidR="00D52293" w:rsidRPr="007C5328" w:rsidRDefault="00D52293" w:rsidP="007C5328">
            <w:pPr>
              <w:spacing w:before="60" w:after="60" w:line="340" w:lineRule="exact"/>
              <w:jc w:val="center"/>
              <w:rPr>
                <w:rFonts w:ascii="Times New Roman" w:hAnsi="Times New Roman"/>
                <w:sz w:val="24"/>
                <w:szCs w:val="24"/>
              </w:rPr>
            </w:pPr>
            <w:r w:rsidRPr="007C5328">
              <w:rPr>
                <w:rFonts w:ascii="Times New Roman" w:hAnsi="Times New Roman"/>
                <w:sz w:val="24"/>
                <w:szCs w:val="24"/>
                <w:lang w:val="pl-PL"/>
              </w:rPr>
              <w:t>(</w:t>
            </w:r>
            <w:r w:rsidRPr="007C5328">
              <w:rPr>
                <w:rFonts w:ascii="Times New Roman" w:hAnsi="Times New Roman"/>
                <w:i/>
                <w:sz w:val="24"/>
                <w:szCs w:val="24"/>
                <w:lang w:val="pl-PL"/>
              </w:rPr>
              <w:t xml:space="preserve">trong đó: </w:t>
            </w:r>
            <w:r w:rsidRPr="007C5328">
              <w:rPr>
                <w:rFonts w:ascii="Times New Roman" w:hAnsi="Times New Roman"/>
                <w:sz w:val="24"/>
                <w:szCs w:val="24"/>
                <w:lang w:val="pl-PL"/>
              </w:rPr>
              <w:t>Phòng chuyên môn: 20 ngày; UBND cấp huyện: 05 ngày)</w:t>
            </w:r>
          </w:p>
        </w:tc>
        <w:tc>
          <w:tcPr>
            <w:tcW w:w="1559"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1843" w:type="dxa"/>
            <w:vMerge/>
            <w:vAlign w:val="center"/>
          </w:tcPr>
          <w:p w:rsidR="00D52293" w:rsidRPr="007C5328" w:rsidRDefault="00D52293" w:rsidP="007C5328">
            <w:pPr>
              <w:spacing w:before="60" w:after="60" w:line="340" w:lineRule="exact"/>
              <w:jc w:val="center"/>
              <w:rPr>
                <w:rFonts w:ascii="Times New Roman" w:hAnsi="Times New Roman"/>
                <w:sz w:val="24"/>
                <w:szCs w:val="24"/>
              </w:rPr>
            </w:pPr>
          </w:p>
        </w:tc>
        <w:tc>
          <w:tcPr>
            <w:tcW w:w="7024" w:type="dxa"/>
            <w:vAlign w:val="center"/>
          </w:tcPr>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Thông tư số 02/2017/TT-BXD ngày 01/3/2017 của Bộ Xây dựng hướng dẫn về quy hoạch xây dựng nông thôn;</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r w:rsidR="00D52293" w:rsidRPr="001347DD" w:rsidTr="007C5328">
        <w:tc>
          <w:tcPr>
            <w:tcW w:w="710" w:type="dxa"/>
            <w:vAlign w:val="center"/>
          </w:tcPr>
          <w:p w:rsidR="00D52293" w:rsidRPr="007C5328" w:rsidRDefault="00D52293" w:rsidP="007C5328">
            <w:pPr>
              <w:jc w:val="center"/>
              <w:rPr>
                <w:rFonts w:ascii="Times New Roman" w:hAnsi="Times New Roman"/>
                <w:sz w:val="24"/>
                <w:szCs w:val="24"/>
              </w:rPr>
            </w:pPr>
            <w:r w:rsidRPr="007C5328">
              <w:rPr>
                <w:rFonts w:ascii="Times New Roman" w:hAnsi="Times New Roman"/>
                <w:sz w:val="24"/>
                <w:szCs w:val="24"/>
              </w:rPr>
              <w:t>17</w:t>
            </w:r>
          </w:p>
        </w:tc>
        <w:tc>
          <w:tcPr>
            <w:tcW w:w="2551" w:type="dxa"/>
            <w:vAlign w:val="center"/>
          </w:tcPr>
          <w:p w:rsidR="00D52293" w:rsidRPr="007C5328" w:rsidRDefault="00D52293" w:rsidP="007C5328">
            <w:pPr>
              <w:spacing w:before="60" w:after="60" w:line="340" w:lineRule="exact"/>
              <w:jc w:val="both"/>
              <w:rPr>
                <w:rFonts w:ascii="Times New Roman" w:hAnsi="Times New Roman"/>
                <w:b/>
                <w:sz w:val="24"/>
                <w:szCs w:val="24"/>
                <w:lang w:val="pt-BR"/>
              </w:rPr>
            </w:pPr>
            <w:r w:rsidRPr="007C5328">
              <w:rPr>
                <w:rFonts w:ascii="Times New Roman" w:hAnsi="Times New Roman"/>
                <w:b/>
                <w:sz w:val="24"/>
                <w:szCs w:val="24"/>
                <w:lang w:val="pt-BR"/>
              </w:rPr>
              <w:t>Thẩm định, phê duyệt Quy định quản lý theo đồ án quy hoạch xây dựng</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l-PL"/>
              </w:rPr>
            </w:pPr>
            <w:r w:rsidRPr="007C5328">
              <w:rPr>
                <w:rFonts w:ascii="Times New Roman" w:hAnsi="Times New Roman"/>
                <w:sz w:val="24"/>
                <w:szCs w:val="24"/>
                <w:lang w:val="pl-PL"/>
              </w:rPr>
              <w:t>15 ngày</w:t>
            </w:r>
          </w:p>
          <w:p w:rsidR="00D52293" w:rsidRPr="007C5328" w:rsidRDefault="00D52293" w:rsidP="007C5328">
            <w:pPr>
              <w:spacing w:before="60" w:after="60" w:line="340" w:lineRule="exact"/>
              <w:jc w:val="center"/>
              <w:rPr>
                <w:rFonts w:ascii="Times New Roman" w:hAnsi="Times New Roman"/>
                <w:sz w:val="24"/>
                <w:szCs w:val="24"/>
                <w:lang w:val="pt-BR"/>
              </w:rPr>
            </w:pPr>
            <w:r w:rsidRPr="007C5328">
              <w:rPr>
                <w:rFonts w:ascii="Times New Roman" w:hAnsi="Times New Roman"/>
                <w:sz w:val="24"/>
                <w:szCs w:val="24"/>
                <w:lang w:val="pl-PL"/>
              </w:rPr>
              <w:t>(</w:t>
            </w:r>
            <w:r w:rsidRPr="007C5328">
              <w:rPr>
                <w:rFonts w:ascii="Times New Roman" w:hAnsi="Times New Roman"/>
                <w:i/>
                <w:sz w:val="24"/>
                <w:szCs w:val="24"/>
                <w:lang w:val="pl-PL"/>
              </w:rPr>
              <w:t>trong đó:</w:t>
            </w:r>
            <w:r w:rsidRPr="007C5328">
              <w:rPr>
                <w:rFonts w:ascii="Times New Roman" w:hAnsi="Times New Roman"/>
                <w:sz w:val="24"/>
                <w:szCs w:val="24"/>
                <w:lang w:val="pl-PL"/>
              </w:rPr>
              <w:t xml:space="preserve"> Phòng chuyên môn: 12 ngày; UBND cấp huyện: 03 ngày)</w:t>
            </w:r>
          </w:p>
        </w:tc>
        <w:tc>
          <w:tcPr>
            <w:tcW w:w="1559" w:type="dxa"/>
            <w:vAlign w:val="center"/>
          </w:tcPr>
          <w:p w:rsidR="00D52293" w:rsidRPr="007C5328" w:rsidRDefault="00D52293" w:rsidP="007C5328">
            <w:pPr>
              <w:spacing w:before="60" w:after="60" w:line="340" w:lineRule="exact"/>
              <w:jc w:val="center"/>
              <w:rPr>
                <w:rFonts w:ascii="Times New Roman" w:hAnsi="Times New Roman"/>
                <w:sz w:val="24"/>
                <w:szCs w:val="24"/>
                <w:lang w:val="pt-BR"/>
              </w:rPr>
            </w:pPr>
            <w:r w:rsidRPr="007C5328">
              <w:rPr>
                <w:rFonts w:ascii="Times New Roman" w:hAnsi="Times New Roman"/>
                <w:spacing w:val="-4"/>
                <w:sz w:val="24"/>
                <w:szCs w:val="24"/>
                <w:lang w:val="nl-NL"/>
              </w:rPr>
              <w:t>Trung tâm Hành chính công cấp huyện</w:t>
            </w:r>
          </w:p>
        </w:tc>
        <w:tc>
          <w:tcPr>
            <w:tcW w:w="1843" w:type="dxa"/>
            <w:vAlign w:val="center"/>
          </w:tcPr>
          <w:p w:rsidR="00D52293" w:rsidRPr="007C5328" w:rsidRDefault="00D52293" w:rsidP="007C5328">
            <w:pPr>
              <w:spacing w:before="60" w:after="60" w:line="340" w:lineRule="exact"/>
              <w:jc w:val="center"/>
              <w:rPr>
                <w:rFonts w:ascii="Times New Roman" w:hAnsi="Times New Roman"/>
                <w:sz w:val="24"/>
                <w:szCs w:val="24"/>
                <w:lang w:val="pt-BR"/>
              </w:rPr>
            </w:pPr>
            <w:r w:rsidRPr="007C5328">
              <w:rPr>
                <w:rFonts w:ascii="Times New Roman" w:hAnsi="Times New Roman"/>
                <w:sz w:val="24"/>
                <w:szCs w:val="24"/>
                <w:lang w:val="pt-BR"/>
              </w:rPr>
              <w:t>Không</w:t>
            </w:r>
          </w:p>
        </w:tc>
        <w:tc>
          <w:tcPr>
            <w:tcW w:w="7024" w:type="dxa"/>
            <w:vAlign w:val="center"/>
          </w:tcPr>
          <w:p w:rsidR="00D52293" w:rsidRPr="007C5328" w:rsidRDefault="00D52293" w:rsidP="007C5328">
            <w:pPr>
              <w:spacing w:before="60" w:after="60" w:line="340" w:lineRule="exact"/>
              <w:ind w:left="-57" w:right="-57"/>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Quy hoạch đô thị số 30/2009/QH12 ngày 17/6/2009;</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Luật Xây dựng số 50/2014/QH13 ngày 18/6/2014;</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Nghị định số 44/2015/NĐ-CP ngày 06/5/2015 của Chính phủ quy định chi tiết về quy hoạch xây dựng;</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Nghị định số 37/2010/NĐ-CP ngày 07/4/2010 của Chính phủ về lập, thẩm định, phê duyệt và quản lý quy hoạch đô thị;</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Thông tư số 12/2016/TT-BXD ngày 29/6/2016 của Bộ Xây dựng quy định về hồ sơ của nhiệm vụ và đồ án quy hoạch xây dựng vùng, quy hoạch đô thị và quy hoạch xây dựng khu chức năng đặc thù;</w:t>
            </w:r>
          </w:p>
          <w:p w:rsidR="00D52293" w:rsidRPr="007C5328" w:rsidRDefault="00D52293" w:rsidP="007C5328">
            <w:pPr>
              <w:spacing w:before="60" w:after="60" w:line="340" w:lineRule="exact"/>
              <w:jc w:val="both"/>
              <w:rPr>
                <w:rFonts w:ascii="Times New Roman" w:hAnsi="Times New Roman"/>
                <w:spacing w:val="-4"/>
                <w:sz w:val="24"/>
                <w:szCs w:val="24"/>
                <w:lang w:val="pt-BR"/>
              </w:rPr>
            </w:pPr>
            <w:r w:rsidRPr="007C5328">
              <w:rPr>
                <w:rFonts w:ascii="Times New Roman" w:hAnsi="Times New Roman"/>
                <w:spacing w:val="-4"/>
                <w:sz w:val="24"/>
                <w:szCs w:val="24"/>
                <w:lang w:val="pt-BR"/>
              </w:rPr>
              <w:t>- Quyết định 63/2016/QĐ-UBND ngày 21/9/2016 của UBND tỉnh ban hành quy định về việc phân công, phân cấp và ủy quyền công tác quản lý quy hoạch – kiến trúc xây dựng trên địa bàn tỉnh Thừa Thiên Huế.</w:t>
            </w:r>
          </w:p>
        </w:tc>
      </w:tr>
    </w:tbl>
    <w:p w:rsidR="00D52293" w:rsidRPr="00BD34E2" w:rsidRDefault="00D52293" w:rsidP="004B6F3D">
      <w:pPr>
        <w:spacing w:after="240"/>
        <w:jc w:val="center"/>
        <w:rPr>
          <w:rFonts w:ascii="Times New Roman" w:hAnsi="Times New Roman"/>
          <w:b/>
          <w:sz w:val="24"/>
          <w:szCs w:val="24"/>
        </w:rPr>
      </w:pPr>
    </w:p>
    <w:sectPr w:rsidR="00D52293" w:rsidRPr="00BD34E2" w:rsidSect="00094F5C">
      <w:footerReference w:type="even" r:id="rId7"/>
      <w:footerReference w:type="default" r:id="rId8"/>
      <w:pgSz w:w="16840" w:h="11907" w:orient="landscape" w:code="9"/>
      <w:pgMar w:top="851" w:right="851" w:bottom="567" w:left="851" w:header="113" w:footer="170"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93" w:rsidRDefault="00D52293">
      <w:r>
        <w:separator/>
      </w:r>
    </w:p>
  </w:endnote>
  <w:endnote w:type="continuationSeparator" w:id="0">
    <w:p w:rsidR="00D52293" w:rsidRDefault="00D52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93" w:rsidRDefault="00D52293" w:rsidP="00376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293" w:rsidRDefault="00D52293" w:rsidP="002A57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93" w:rsidRDefault="00D52293" w:rsidP="00944619">
    <w:pPr>
      <w:pStyle w:val="Footer"/>
      <w:jc w:val="right"/>
    </w:pPr>
    <w:r w:rsidRPr="00D0207D">
      <w:rPr>
        <w:rFonts w:ascii="Times New Roman" w:hAnsi="Times New Roman"/>
        <w:sz w:val="24"/>
        <w:szCs w:val="24"/>
      </w:rPr>
      <w:fldChar w:fldCharType="begin"/>
    </w:r>
    <w:r w:rsidRPr="00D0207D">
      <w:rPr>
        <w:rFonts w:ascii="Times New Roman" w:hAnsi="Times New Roman"/>
        <w:sz w:val="24"/>
        <w:szCs w:val="24"/>
      </w:rPr>
      <w:instrText xml:space="preserve"> PAGE   \* MERGEFORMAT </w:instrText>
    </w:r>
    <w:r w:rsidRPr="00D0207D">
      <w:rPr>
        <w:rFonts w:ascii="Times New Roman" w:hAnsi="Times New Roman"/>
        <w:sz w:val="24"/>
        <w:szCs w:val="24"/>
      </w:rPr>
      <w:fldChar w:fldCharType="separate"/>
    </w:r>
    <w:r>
      <w:rPr>
        <w:rFonts w:ascii="Times New Roman" w:hAnsi="Times New Roman"/>
        <w:noProof/>
        <w:sz w:val="24"/>
        <w:szCs w:val="24"/>
      </w:rPr>
      <w:t>2</w:t>
    </w:r>
    <w:r w:rsidRPr="00D0207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93" w:rsidRDefault="00D52293">
      <w:r>
        <w:separator/>
      </w:r>
    </w:p>
  </w:footnote>
  <w:footnote w:type="continuationSeparator" w:id="0">
    <w:p w:rsidR="00D52293" w:rsidRDefault="00D52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EE2C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B6A199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8E408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1D6E5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D246B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8CE1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0A5C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48E3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5604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DE0504"/>
    <w:lvl w:ilvl="0">
      <w:start w:val="1"/>
      <w:numFmt w:val="bullet"/>
      <w:lvlText w:val=""/>
      <w:lvlJc w:val="left"/>
      <w:pPr>
        <w:tabs>
          <w:tab w:val="num" w:pos="360"/>
        </w:tabs>
        <w:ind w:left="360" w:hanging="360"/>
      </w:pPr>
      <w:rPr>
        <w:rFonts w:ascii="Symbol" w:hAnsi="Symbol" w:hint="default"/>
      </w:rPr>
    </w:lvl>
  </w:abstractNum>
  <w:abstractNum w:abstractNumId="10">
    <w:nsid w:val="003F1D28"/>
    <w:multiLevelType w:val="hybridMultilevel"/>
    <w:tmpl w:val="BD02AC82"/>
    <w:lvl w:ilvl="0" w:tplc="49EE818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7712ED"/>
    <w:multiLevelType w:val="hybridMultilevel"/>
    <w:tmpl w:val="3DBA78F8"/>
    <w:lvl w:ilvl="0" w:tplc="D6F41170">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023E2CE9"/>
    <w:multiLevelType w:val="hybridMultilevel"/>
    <w:tmpl w:val="A136219E"/>
    <w:lvl w:ilvl="0" w:tplc="370627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38122FE"/>
    <w:multiLevelType w:val="hybridMultilevel"/>
    <w:tmpl w:val="87065424"/>
    <w:lvl w:ilvl="0" w:tplc="0EE23A72">
      <w:start w:val="1"/>
      <w:numFmt w:val="decimal"/>
      <w:suff w:val="nothing"/>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54550F8"/>
    <w:multiLevelType w:val="hybridMultilevel"/>
    <w:tmpl w:val="B6268598"/>
    <w:lvl w:ilvl="0" w:tplc="5D10C706">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B465A0"/>
    <w:multiLevelType w:val="hybridMultilevel"/>
    <w:tmpl w:val="18BE9F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7431528"/>
    <w:multiLevelType w:val="hybridMultilevel"/>
    <w:tmpl w:val="47B43D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9B34E8"/>
    <w:multiLevelType w:val="hybridMultilevel"/>
    <w:tmpl w:val="0C22C59E"/>
    <w:lvl w:ilvl="0" w:tplc="9D7E80AE">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18FA6B35"/>
    <w:multiLevelType w:val="hybridMultilevel"/>
    <w:tmpl w:val="5C629D0A"/>
    <w:lvl w:ilvl="0" w:tplc="3CBEA9B6">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21C96166"/>
    <w:multiLevelType w:val="hybridMultilevel"/>
    <w:tmpl w:val="81063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6552912"/>
    <w:multiLevelType w:val="hybridMultilevel"/>
    <w:tmpl w:val="FC94694C"/>
    <w:lvl w:ilvl="0" w:tplc="56069AD8">
      <w:numFmt w:val="bullet"/>
      <w:lvlText w:val="-"/>
      <w:lvlJc w:val="left"/>
      <w:pPr>
        <w:tabs>
          <w:tab w:val="num" w:pos="920"/>
        </w:tabs>
        <w:ind w:left="920" w:hanging="360"/>
      </w:pPr>
      <w:rPr>
        <w:rFonts w:ascii="Times New Roman" w:eastAsia="Times New Roman" w:hAnsi="Times New Roman"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2">
    <w:nsid w:val="36E367E7"/>
    <w:multiLevelType w:val="hybridMultilevel"/>
    <w:tmpl w:val="C92C25D6"/>
    <w:lvl w:ilvl="0" w:tplc="D0447D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37433234"/>
    <w:multiLevelType w:val="hybridMultilevel"/>
    <w:tmpl w:val="8EB072F4"/>
    <w:lvl w:ilvl="0" w:tplc="40D819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B66CA1"/>
    <w:multiLevelType w:val="hybridMultilevel"/>
    <w:tmpl w:val="19AAEDF6"/>
    <w:lvl w:ilvl="0" w:tplc="69626FBC">
      <w:start w:val="1"/>
      <w:numFmt w:val="upp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nsid w:val="421E43E6"/>
    <w:multiLevelType w:val="hybridMultilevel"/>
    <w:tmpl w:val="A5E6EF1C"/>
    <w:lvl w:ilvl="0" w:tplc="B882EB7C">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46864A32"/>
    <w:multiLevelType w:val="hybridMultilevel"/>
    <w:tmpl w:val="188AA8BA"/>
    <w:lvl w:ilvl="0" w:tplc="BE6E2F54">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55A49"/>
    <w:multiLevelType w:val="hybridMultilevel"/>
    <w:tmpl w:val="90D4B1A2"/>
    <w:lvl w:ilvl="0" w:tplc="2948117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2761C"/>
    <w:multiLevelType w:val="hybridMultilevel"/>
    <w:tmpl w:val="C8D2B816"/>
    <w:lvl w:ilvl="0" w:tplc="BA2842A2">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B3C9B"/>
    <w:multiLevelType w:val="hybridMultilevel"/>
    <w:tmpl w:val="5AC2269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4D6698E"/>
    <w:multiLevelType w:val="hybridMultilevel"/>
    <w:tmpl w:val="67E4264A"/>
    <w:lvl w:ilvl="0" w:tplc="0F28C7B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2A49E9"/>
    <w:multiLevelType w:val="hybridMultilevel"/>
    <w:tmpl w:val="6CB6FC70"/>
    <w:lvl w:ilvl="0" w:tplc="81E24AD6">
      <w:start w:val="2"/>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314BA"/>
    <w:multiLevelType w:val="multilevel"/>
    <w:tmpl w:val="18BE9FA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4B6106"/>
    <w:multiLevelType w:val="hybridMultilevel"/>
    <w:tmpl w:val="CC14BF5C"/>
    <w:lvl w:ilvl="0" w:tplc="C6C6269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460D04"/>
    <w:multiLevelType w:val="hybridMultilevel"/>
    <w:tmpl w:val="192ADA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B4920B9"/>
    <w:multiLevelType w:val="hybridMultilevel"/>
    <w:tmpl w:val="A92A23EE"/>
    <w:lvl w:ilvl="0" w:tplc="03F4022C">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43A2C7D"/>
    <w:multiLevelType w:val="hybridMultilevel"/>
    <w:tmpl w:val="94E0C8EA"/>
    <w:lvl w:ilvl="0" w:tplc="54E0AFD2">
      <w:numFmt w:val="bullet"/>
      <w:lvlText w:val="-"/>
      <w:lvlJc w:val="left"/>
      <w:pPr>
        <w:tabs>
          <w:tab w:val="num" w:pos="720"/>
        </w:tabs>
        <w:ind w:left="720" w:hanging="360"/>
      </w:pPr>
      <w:rPr>
        <w:rFonts w:ascii="Times New Roman" w:eastAsia="Times New Roman" w:hAnsi="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D04E8B"/>
    <w:multiLevelType w:val="hybridMultilevel"/>
    <w:tmpl w:val="7B6A17B4"/>
    <w:lvl w:ilvl="0" w:tplc="D3C0F8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7DE43A8"/>
    <w:multiLevelType w:val="hybridMultilevel"/>
    <w:tmpl w:val="3014EA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90D37E0"/>
    <w:multiLevelType w:val="hybridMultilevel"/>
    <w:tmpl w:val="31C6CBC8"/>
    <w:lvl w:ilvl="0" w:tplc="973A204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1">
    <w:nsid w:val="7D3C3641"/>
    <w:multiLevelType w:val="hybridMultilevel"/>
    <w:tmpl w:val="AA843030"/>
    <w:lvl w:ilvl="0" w:tplc="8542C0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390B26"/>
    <w:multiLevelType w:val="multilevel"/>
    <w:tmpl w:val="B04CD9C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3"/>
  </w:num>
  <w:num w:numId="5">
    <w:abstractNumId w:val="38"/>
  </w:num>
  <w:num w:numId="6">
    <w:abstractNumId w:val="22"/>
  </w:num>
  <w:num w:numId="7">
    <w:abstractNumId w:val="19"/>
  </w:num>
  <w:num w:numId="8">
    <w:abstractNumId w:val="31"/>
  </w:num>
  <w:num w:numId="9">
    <w:abstractNumId w:val="10"/>
  </w:num>
  <w:num w:numId="10">
    <w:abstractNumId w:val="28"/>
  </w:num>
  <w:num w:numId="11">
    <w:abstractNumId w:val="27"/>
  </w:num>
  <w:num w:numId="12">
    <w:abstractNumId w:val="14"/>
  </w:num>
  <w:num w:numId="13">
    <w:abstractNumId w:val="26"/>
  </w:num>
  <w:num w:numId="14">
    <w:abstractNumId w:val="35"/>
  </w:num>
  <w:num w:numId="15">
    <w:abstractNumId w:val="24"/>
  </w:num>
  <w:num w:numId="16">
    <w:abstractNumId w:val="18"/>
  </w:num>
  <w:num w:numId="17">
    <w:abstractNumId w:val="17"/>
  </w:num>
  <w:num w:numId="18">
    <w:abstractNumId w:val="23"/>
  </w:num>
  <w:num w:numId="19">
    <w:abstractNumId w:val="25"/>
  </w:num>
  <w:num w:numId="20">
    <w:abstractNumId w:val="16"/>
  </w:num>
  <w:num w:numId="21">
    <w:abstractNumId w:val="36"/>
  </w:num>
  <w:num w:numId="22">
    <w:abstractNumId w:val="37"/>
  </w:num>
  <w:num w:numId="23">
    <w:abstractNumId w:val="40"/>
  </w:num>
  <w:num w:numId="24">
    <w:abstractNumId w:val="12"/>
  </w:num>
  <w:num w:numId="25">
    <w:abstractNumId w:val="30"/>
  </w:num>
  <w:num w:numId="26">
    <w:abstractNumId w:val="21"/>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2"/>
  </w:num>
  <w:num w:numId="39">
    <w:abstractNumId w:val="41"/>
  </w:num>
  <w:num w:numId="40">
    <w:abstractNumId w:val="15"/>
  </w:num>
  <w:num w:numId="41">
    <w:abstractNumId w:val="32"/>
  </w:num>
  <w:num w:numId="42">
    <w:abstractNumId w:val="1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7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B47"/>
    <w:rsid w:val="00002E98"/>
    <w:rsid w:val="000032D7"/>
    <w:rsid w:val="00004C03"/>
    <w:rsid w:val="00005599"/>
    <w:rsid w:val="000078B0"/>
    <w:rsid w:val="00012089"/>
    <w:rsid w:val="00012A0D"/>
    <w:rsid w:val="00014B18"/>
    <w:rsid w:val="000202F6"/>
    <w:rsid w:val="00021F98"/>
    <w:rsid w:val="00032F51"/>
    <w:rsid w:val="00033180"/>
    <w:rsid w:val="0003459F"/>
    <w:rsid w:val="00036187"/>
    <w:rsid w:val="000376DC"/>
    <w:rsid w:val="00037B6D"/>
    <w:rsid w:val="00041AE5"/>
    <w:rsid w:val="000437F6"/>
    <w:rsid w:val="000449C0"/>
    <w:rsid w:val="00046B95"/>
    <w:rsid w:val="000541C7"/>
    <w:rsid w:val="00055E64"/>
    <w:rsid w:val="0005750B"/>
    <w:rsid w:val="00063FEE"/>
    <w:rsid w:val="000656CF"/>
    <w:rsid w:val="00066D42"/>
    <w:rsid w:val="00067278"/>
    <w:rsid w:val="00072458"/>
    <w:rsid w:val="00073ED0"/>
    <w:rsid w:val="00080097"/>
    <w:rsid w:val="0008012B"/>
    <w:rsid w:val="000810CE"/>
    <w:rsid w:val="00081341"/>
    <w:rsid w:val="00082A65"/>
    <w:rsid w:val="00082FE2"/>
    <w:rsid w:val="00083326"/>
    <w:rsid w:val="00085436"/>
    <w:rsid w:val="00087B1A"/>
    <w:rsid w:val="000943DA"/>
    <w:rsid w:val="00094F5C"/>
    <w:rsid w:val="00097A4F"/>
    <w:rsid w:val="000A044D"/>
    <w:rsid w:val="000A1C2F"/>
    <w:rsid w:val="000A1D4C"/>
    <w:rsid w:val="000B3F55"/>
    <w:rsid w:val="000B53C9"/>
    <w:rsid w:val="000B6639"/>
    <w:rsid w:val="000C11D0"/>
    <w:rsid w:val="000C3239"/>
    <w:rsid w:val="000C34A8"/>
    <w:rsid w:val="000C6089"/>
    <w:rsid w:val="000D1CEC"/>
    <w:rsid w:val="000D2C2E"/>
    <w:rsid w:val="000E0387"/>
    <w:rsid w:val="000E0859"/>
    <w:rsid w:val="000E6C0B"/>
    <w:rsid w:val="000E75EC"/>
    <w:rsid w:val="000F0236"/>
    <w:rsid w:val="001044C7"/>
    <w:rsid w:val="001101A0"/>
    <w:rsid w:val="00112127"/>
    <w:rsid w:val="001129C0"/>
    <w:rsid w:val="00112A23"/>
    <w:rsid w:val="00112DF2"/>
    <w:rsid w:val="00116794"/>
    <w:rsid w:val="00121172"/>
    <w:rsid w:val="00123143"/>
    <w:rsid w:val="001237E9"/>
    <w:rsid w:val="001262C6"/>
    <w:rsid w:val="00132765"/>
    <w:rsid w:val="001347DD"/>
    <w:rsid w:val="00144726"/>
    <w:rsid w:val="00150C44"/>
    <w:rsid w:val="0015242D"/>
    <w:rsid w:val="0016197E"/>
    <w:rsid w:val="001631F9"/>
    <w:rsid w:val="001704FA"/>
    <w:rsid w:val="00170537"/>
    <w:rsid w:val="001747D4"/>
    <w:rsid w:val="001766C9"/>
    <w:rsid w:val="001769DC"/>
    <w:rsid w:val="00184827"/>
    <w:rsid w:val="00186BC9"/>
    <w:rsid w:val="00187AE5"/>
    <w:rsid w:val="00187FD0"/>
    <w:rsid w:val="001944D9"/>
    <w:rsid w:val="001A0232"/>
    <w:rsid w:val="001A1D44"/>
    <w:rsid w:val="001A709A"/>
    <w:rsid w:val="001B126C"/>
    <w:rsid w:val="001B27F1"/>
    <w:rsid w:val="001B5075"/>
    <w:rsid w:val="001B5CF6"/>
    <w:rsid w:val="001C34A4"/>
    <w:rsid w:val="001C6F50"/>
    <w:rsid w:val="001C7F24"/>
    <w:rsid w:val="001D11D4"/>
    <w:rsid w:val="001D18B2"/>
    <w:rsid w:val="001D724E"/>
    <w:rsid w:val="001D72EE"/>
    <w:rsid w:val="001E55E2"/>
    <w:rsid w:val="001F1F61"/>
    <w:rsid w:val="001F23CB"/>
    <w:rsid w:val="001F552C"/>
    <w:rsid w:val="00200870"/>
    <w:rsid w:val="00207815"/>
    <w:rsid w:val="00221F36"/>
    <w:rsid w:val="002223A6"/>
    <w:rsid w:val="00223336"/>
    <w:rsid w:val="00223339"/>
    <w:rsid w:val="002245AC"/>
    <w:rsid w:val="00227C4A"/>
    <w:rsid w:val="002338AB"/>
    <w:rsid w:val="002353B7"/>
    <w:rsid w:val="0023600B"/>
    <w:rsid w:val="00236AA1"/>
    <w:rsid w:val="002451B9"/>
    <w:rsid w:val="00247926"/>
    <w:rsid w:val="00257E6B"/>
    <w:rsid w:val="00260E7F"/>
    <w:rsid w:val="00262266"/>
    <w:rsid w:val="00262B0B"/>
    <w:rsid w:val="00265830"/>
    <w:rsid w:val="00266794"/>
    <w:rsid w:val="002775E2"/>
    <w:rsid w:val="00280958"/>
    <w:rsid w:val="00284AFD"/>
    <w:rsid w:val="00293454"/>
    <w:rsid w:val="00294C64"/>
    <w:rsid w:val="00294CBA"/>
    <w:rsid w:val="002A3213"/>
    <w:rsid w:val="002A4A3B"/>
    <w:rsid w:val="002A57AB"/>
    <w:rsid w:val="002B2238"/>
    <w:rsid w:val="002B7983"/>
    <w:rsid w:val="002C0651"/>
    <w:rsid w:val="002C323F"/>
    <w:rsid w:val="002C52FB"/>
    <w:rsid w:val="002D13B3"/>
    <w:rsid w:val="002D2D0F"/>
    <w:rsid w:val="002D64C6"/>
    <w:rsid w:val="002E00A4"/>
    <w:rsid w:val="002E2255"/>
    <w:rsid w:val="002E5CBA"/>
    <w:rsid w:val="002F3963"/>
    <w:rsid w:val="002F6D6F"/>
    <w:rsid w:val="00304FA7"/>
    <w:rsid w:val="00306837"/>
    <w:rsid w:val="00307001"/>
    <w:rsid w:val="003075FB"/>
    <w:rsid w:val="003127E7"/>
    <w:rsid w:val="00314A47"/>
    <w:rsid w:val="00315D08"/>
    <w:rsid w:val="00316544"/>
    <w:rsid w:val="00320F72"/>
    <w:rsid w:val="003212E1"/>
    <w:rsid w:val="00321A28"/>
    <w:rsid w:val="00321FE1"/>
    <w:rsid w:val="003224C9"/>
    <w:rsid w:val="0032764F"/>
    <w:rsid w:val="00330083"/>
    <w:rsid w:val="00332C29"/>
    <w:rsid w:val="0033431F"/>
    <w:rsid w:val="00341FBB"/>
    <w:rsid w:val="00346231"/>
    <w:rsid w:val="00346CD8"/>
    <w:rsid w:val="00350EE8"/>
    <w:rsid w:val="00352034"/>
    <w:rsid w:val="00352281"/>
    <w:rsid w:val="00354A63"/>
    <w:rsid w:val="00357BB1"/>
    <w:rsid w:val="0036052D"/>
    <w:rsid w:val="003764FB"/>
    <w:rsid w:val="00377C48"/>
    <w:rsid w:val="003808DF"/>
    <w:rsid w:val="00380E0C"/>
    <w:rsid w:val="003815B4"/>
    <w:rsid w:val="00382C41"/>
    <w:rsid w:val="0038451D"/>
    <w:rsid w:val="003845A1"/>
    <w:rsid w:val="00385EA1"/>
    <w:rsid w:val="0038748C"/>
    <w:rsid w:val="00390A72"/>
    <w:rsid w:val="00395B00"/>
    <w:rsid w:val="00396067"/>
    <w:rsid w:val="00397269"/>
    <w:rsid w:val="003A2757"/>
    <w:rsid w:val="003A3CA7"/>
    <w:rsid w:val="003A4748"/>
    <w:rsid w:val="003B073D"/>
    <w:rsid w:val="003B55DD"/>
    <w:rsid w:val="003B6355"/>
    <w:rsid w:val="003B6B28"/>
    <w:rsid w:val="003C070B"/>
    <w:rsid w:val="003C09FB"/>
    <w:rsid w:val="003C20A9"/>
    <w:rsid w:val="003C6069"/>
    <w:rsid w:val="003D2B23"/>
    <w:rsid w:val="003D32F3"/>
    <w:rsid w:val="003D4803"/>
    <w:rsid w:val="003E0888"/>
    <w:rsid w:val="003E11DC"/>
    <w:rsid w:val="003E23C8"/>
    <w:rsid w:val="003E5BC6"/>
    <w:rsid w:val="003E7CBF"/>
    <w:rsid w:val="003F0CC7"/>
    <w:rsid w:val="003F0FA3"/>
    <w:rsid w:val="003F3A2D"/>
    <w:rsid w:val="003F47E5"/>
    <w:rsid w:val="003F6FD3"/>
    <w:rsid w:val="0040055F"/>
    <w:rsid w:val="0040151C"/>
    <w:rsid w:val="00402B1B"/>
    <w:rsid w:val="00411C95"/>
    <w:rsid w:val="00416B04"/>
    <w:rsid w:val="00417D5C"/>
    <w:rsid w:val="00420FDF"/>
    <w:rsid w:val="00423EEF"/>
    <w:rsid w:val="0042535B"/>
    <w:rsid w:val="00430259"/>
    <w:rsid w:val="0043581E"/>
    <w:rsid w:val="0045345F"/>
    <w:rsid w:val="004539BC"/>
    <w:rsid w:val="00457319"/>
    <w:rsid w:val="0046278D"/>
    <w:rsid w:val="00462F36"/>
    <w:rsid w:val="00464F38"/>
    <w:rsid w:val="00466038"/>
    <w:rsid w:val="004716A3"/>
    <w:rsid w:val="00472032"/>
    <w:rsid w:val="00473F4A"/>
    <w:rsid w:val="00477261"/>
    <w:rsid w:val="00477C64"/>
    <w:rsid w:val="00477DD3"/>
    <w:rsid w:val="00480A4D"/>
    <w:rsid w:val="0048318A"/>
    <w:rsid w:val="00483D4D"/>
    <w:rsid w:val="004864DD"/>
    <w:rsid w:val="00486DFF"/>
    <w:rsid w:val="00491490"/>
    <w:rsid w:val="0049237C"/>
    <w:rsid w:val="00493DBC"/>
    <w:rsid w:val="00494123"/>
    <w:rsid w:val="0049566A"/>
    <w:rsid w:val="004A678B"/>
    <w:rsid w:val="004A6EFC"/>
    <w:rsid w:val="004B3994"/>
    <w:rsid w:val="004B3F90"/>
    <w:rsid w:val="004B67D7"/>
    <w:rsid w:val="004B6F3D"/>
    <w:rsid w:val="004C14BF"/>
    <w:rsid w:val="004C1985"/>
    <w:rsid w:val="004C3640"/>
    <w:rsid w:val="004C45B9"/>
    <w:rsid w:val="004C4A0D"/>
    <w:rsid w:val="004C7696"/>
    <w:rsid w:val="004D5283"/>
    <w:rsid w:val="004E1466"/>
    <w:rsid w:val="004E369E"/>
    <w:rsid w:val="004F4A9C"/>
    <w:rsid w:val="004F7909"/>
    <w:rsid w:val="004F7EB2"/>
    <w:rsid w:val="00506B28"/>
    <w:rsid w:val="00510211"/>
    <w:rsid w:val="00510DFE"/>
    <w:rsid w:val="00514A10"/>
    <w:rsid w:val="00524329"/>
    <w:rsid w:val="005278CC"/>
    <w:rsid w:val="00530346"/>
    <w:rsid w:val="00536935"/>
    <w:rsid w:val="00536E71"/>
    <w:rsid w:val="005445DF"/>
    <w:rsid w:val="00552A51"/>
    <w:rsid w:val="005541CB"/>
    <w:rsid w:val="0055634A"/>
    <w:rsid w:val="00556517"/>
    <w:rsid w:val="005601EE"/>
    <w:rsid w:val="00560231"/>
    <w:rsid w:val="005655A2"/>
    <w:rsid w:val="00567BA9"/>
    <w:rsid w:val="00571658"/>
    <w:rsid w:val="00571757"/>
    <w:rsid w:val="00573E57"/>
    <w:rsid w:val="00575E76"/>
    <w:rsid w:val="00577947"/>
    <w:rsid w:val="005820E3"/>
    <w:rsid w:val="00585204"/>
    <w:rsid w:val="00585541"/>
    <w:rsid w:val="00585B06"/>
    <w:rsid w:val="00585CA3"/>
    <w:rsid w:val="005905A1"/>
    <w:rsid w:val="00593AF6"/>
    <w:rsid w:val="00595627"/>
    <w:rsid w:val="005973F2"/>
    <w:rsid w:val="005A2272"/>
    <w:rsid w:val="005A5157"/>
    <w:rsid w:val="005A564D"/>
    <w:rsid w:val="005A7FBE"/>
    <w:rsid w:val="005B0EE6"/>
    <w:rsid w:val="005B5BF6"/>
    <w:rsid w:val="005B6BC2"/>
    <w:rsid w:val="005C05E1"/>
    <w:rsid w:val="005C1DFC"/>
    <w:rsid w:val="005C7C15"/>
    <w:rsid w:val="005D1810"/>
    <w:rsid w:val="005D29F5"/>
    <w:rsid w:val="005D6678"/>
    <w:rsid w:val="005D6CBD"/>
    <w:rsid w:val="005E1335"/>
    <w:rsid w:val="005E34C9"/>
    <w:rsid w:val="005E45B2"/>
    <w:rsid w:val="005E50C6"/>
    <w:rsid w:val="005E53DD"/>
    <w:rsid w:val="005E7AF4"/>
    <w:rsid w:val="005F3596"/>
    <w:rsid w:val="005F37FE"/>
    <w:rsid w:val="005F3838"/>
    <w:rsid w:val="005F3D7B"/>
    <w:rsid w:val="005F65F6"/>
    <w:rsid w:val="005F6976"/>
    <w:rsid w:val="005F69AC"/>
    <w:rsid w:val="005F7250"/>
    <w:rsid w:val="0060035C"/>
    <w:rsid w:val="00600D9F"/>
    <w:rsid w:val="006018FC"/>
    <w:rsid w:val="00601DE1"/>
    <w:rsid w:val="006053C5"/>
    <w:rsid w:val="006054AC"/>
    <w:rsid w:val="006111B1"/>
    <w:rsid w:val="00611E31"/>
    <w:rsid w:val="006155D7"/>
    <w:rsid w:val="00616E22"/>
    <w:rsid w:val="006203CE"/>
    <w:rsid w:val="0062118E"/>
    <w:rsid w:val="006223FB"/>
    <w:rsid w:val="006229E0"/>
    <w:rsid w:val="00631763"/>
    <w:rsid w:val="00636C4D"/>
    <w:rsid w:val="006416D3"/>
    <w:rsid w:val="00645720"/>
    <w:rsid w:val="0066695F"/>
    <w:rsid w:val="006705CD"/>
    <w:rsid w:val="00670C77"/>
    <w:rsid w:val="00676210"/>
    <w:rsid w:val="006764D5"/>
    <w:rsid w:val="00680F48"/>
    <w:rsid w:val="00680FEC"/>
    <w:rsid w:val="006822B8"/>
    <w:rsid w:val="0068472E"/>
    <w:rsid w:val="006858EB"/>
    <w:rsid w:val="006A1995"/>
    <w:rsid w:val="006A48CA"/>
    <w:rsid w:val="006A5B75"/>
    <w:rsid w:val="006A62F4"/>
    <w:rsid w:val="006B1099"/>
    <w:rsid w:val="006B4865"/>
    <w:rsid w:val="006B52E5"/>
    <w:rsid w:val="006B6D87"/>
    <w:rsid w:val="006C0886"/>
    <w:rsid w:val="006C0DC6"/>
    <w:rsid w:val="006C4BB7"/>
    <w:rsid w:val="006C5F41"/>
    <w:rsid w:val="006D046E"/>
    <w:rsid w:val="006D4908"/>
    <w:rsid w:val="006D702E"/>
    <w:rsid w:val="006E0011"/>
    <w:rsid w:val="006E0B80"/>
    <w:rsid w:val="006E201E"/>
    <w:rsid w:val="006E5943"/>
    <w:rsid w:val="006F32A3"/>
    <w:rsid w:val="006F5544"/>
    <w:rsid w:val="006F5E27"/>
    <w:rsid w:val="00711FC4"/>
    <w:rsid w:val="00712EF7"/>
    <w:rsid w:val="00720273"/>
    <w:rsid w:val="00722E87"/>
    <w:rsid w:val="0074228F"/>
    <w:rsid w:val="0074491D"/>
    <w:rsid w:val="00744B2A"/>
    <w:rsid w:val="00746FF3"/>
    <w:rsid w:val="00750ACE"/>
    <w:rsid w:val="00752197"/>
    <w:rsid w:val="00756227"/>
    <w:rsid w:val="007570E1"/>
    <w:rsid w:val="00757C6D"/>
    <w:rsid w:val="00761D97"/>
    <w:rsid w:val="007659B3"/>
    <w:rsid w:val="007665D4"/>
    <w:rsid w:val="00771A35"/>
    <w:rsid w:val="00773CD3"/>
    <w:rsid w:val="00782710"/>
    <w:rsid w:val="00785613"/>
    <w:rsid w:val="0078688D"/>
    <w:rsid w:val="0079357E"/>
    <w:rsid w:val="007A11BD"/>
    <w:rsid w:val="007A5E0E"/>
    <w:rsid w:val="007B05FE"/>
    <w:rsid w:val="007B0783"/>
    <w:rsid w:val="007B310B"/>
    <w:rsid w:val="007B7E04"/>
    <w:rsid w:val="007C5328"/>
    <w:rsid w:val="007D2F1D"/>
    <w:rsid w:val="007D4C2C"/>
    <w:rsid w:val="007D7074"/>
    <w:rsid w:val="007E282B"/>
    <w:rsid w:val="007E548E"/>
    <w:rsid w:val="007E5CD6"/>
    <w:rsid w:val="007E7952"/>
    <w:rsid w:val="007F086C"/>
    <w:rsid w:val="007F0AD3"/>
    <w:rsid w:val="007F6864"/>
    <w:rsid w:val="0080158E"/>
    <w:rsid w:val="00804C73"/>
    <w:rsid w:val="00806B04"/>
    <w:rsid w:val="00810AA8"/>
    <w:rsid w:val="00811465"/>
    <w:rsid w:val="0082093A"/>
    <w:rsid w:val="008221A3"/>
    <w:rsid w:val="008276A3"/>
    <w:rsid w:val="008369F3"/>
    <w:rsid w:val="00845622"/>
    <w:rsid w:val="008509CF"/>
    <w:rsid w:val="00851A2E"/>
    <w:rsid w:val="00851F4B"/>
    <w:rsid w:val="00854E6E"/>
    <w:rsid w:val="00855D5E"/>
    <w:rsid w:val="008707C4"/>
    <w:rsid w:val="00872359"/>
    <w:rsid w:val="00891DA9"/>
    <w:rsid w:val="00893B09"/>
    <w:rsid w:val="00893C4F"/>
    <w:rsid w:val="00895620"/>
    <w:rsid w:val="008A05EC"/>
    <w:rsid w:val="008A32EE"/>
    <w:rsid w:val="008A4BC1"/>
    <w:rsid w:val="008A50BB"/>
    <w:rsid w:val="008B2700"/>
    <w:rsid w:val="008B3430"/>
    <w:rsid w:val="008B353A"/>
    <w:rsid w:val="008B78BA"/>
    <w:rsid w:val="008C12C8"/>
    <w:rsid w:val="008C3709"/>
    <w:rsid w:val="008C594B"/>
    <w:rsid w:val="008C6EFD"/>
    <w:rsid w:val="008D03B2"/>
    <w:rsid w:val="008D08BD"/>
    <w:rsid w:val="008D5827"/>
    <w:rsid w:val="008D73D3"/>
    <w:rsid w:val="008E206A"/>
    <w:rsid w:val="008E3730"/>
    <w:rsid w:val="008E5399"/>
    <w:rsid w:val="008E57D0"/>
    <w:rsid w:val="008E7BB9"/>
    <w:rsid w:val="008F0289"/>
    <w:rsid w:val="008F116E"/>
    <w:rsid w:val="008F2B6B"/>
    <w:rsid w:val="008F605D"/>
    <w:rsid w:val="008F6525"/>
    <w:rsid w:val="008F7B2B"/>
    <w:rsid w:val="0090027A"/>
    <w:rsid w:val="00900EE7"/>
    <w:rsid w:val="009015A6"/>
    <w:rsid w:val="00901A08"/>
    <w:rsid w:val="00901ABC"/>
    <w:rsid w:val="0090309C"/>
    <w:rsid w:val="00903E6C"/>
    <w:rsid w:val="00905CA6"/>
    <w:rsid w:val="00906337"/>
    <w:rsid w:val="00913063"/>
    <w:rsid w:val="00915F1E"/>
    <w:rsid w:val="00916261"/>
    <w:rsid w:val="00916662"/>
    <w:rsid w:val="00933CD8"/>
    <w:rsid w:val="00935500"/>
    <w:rsid w:val="00935C4C"/>
    <w:rsid w:val="00936D2F"/>
    <w:rsid w:val="00943EFF"/>
    <w:rsid w:val="00944619"/>
    <w:rsid w:val="0094615A"/>
    <w:rsid w:val="00946E75"/>
    <w:rsid w:val="00950366"/>
    <w:rsid w:val="0095169E"/>
    <w:rsid w:val="00952DE5"/>
    <w:rsid w:val="00955ED8"/>
    <w:rsid w:val="009701D6"/>
    <w:rsid w:val="00972066"/>
    <w:rsid w:val="00972ABB"/>
    <w:rsid w:val="00972D5E"/>
    <w:rsid w:val="00974C8C"/>
    <w:rsid w:val="00974FB7"/>
    <w:rsid w:val="0097564C"/>
    <w:rsid w:val="00980D05"/>
    <w:rsid w:val="00981C1F"/>
    <w:rsid w:val="009852F3"/>
    <w:rsid w:val="009876B6"/>
    <w:rsid w:val="009908DA"/>
    <w:rsid w:val="00991DB8"/>
    <w:rsid w:val="00992C7D"/>
    <w:rsid w:val="0099524F"/>
    <w:rsid w:val="00995FB8"/>
    <w:rsid w:val="0099645D"/>
    <w:rsid w:val="009A08CF"/>
    <w:rsid w:val="009A6451"/>
    <w:rsid w:val="009A722F"/>
    <w:rsid w:val="009B06A2"/>
    <w:rsid w:val="009B135B"/>
    <w:rsid w:val="009B463A"/>
    <w:rsid w:val="009B4FB1"/>
    <w:rsid w:val="009C522C"/>
    <w:rsid w:val="009D00EC"/>
    <w:rsid w:val="009D16FE"/>
    <w:rsid w:val="009D3B9D"/>
    <w:rsid w:val="009D4463"/>
    <w:rsid w:val="009D6C6E"/>
    <w:rsid w:val="009E3AA2"/>
    <w:rsid w:val="009E530B"/>
    <w:rsid w:val="009F2B08"/>
    <w:rsid w:val="009F3443"/>
    <w:rsid w:val="00A003B3"/>
    <w:rsid w:val="00A024F7"/>
    <w:rsid w:val="00A033F4"/>
    <w:rsid w:val="00A07B7F"/>
    <w:rsid w:val="00A14989"/>
    <w:rsid w:val="00A23215"/>
    <w:rsid w:val="00A25600"/>
    <w:rsid w:val="00A263FB"/>
    <w:rsid w:val="00A279FA"/>
    <w:rsid w:val="00A34BF6"/>
    <w:rsid w:val="00A43CE7"/>
    <w:rsid w:val="00A46200"/>
    <w:rsid w:val="00A5270A"/>
    <w:rsid w:val="00A53592"/>
    <w:rsid w:val="00A601E3"/>
    <w:rsid w:val="00A60C99"/>
    <w:rsid w:val="00A6241D"/>
    <w:rsid w:val="00A631ED"/>
    <w:rsid w:val="00A70A2D"/>
    <w:rsid w:val="00A73258"/>
    <w:rsid w:val="00A7441F"/>
    <w:rsid w:val="00A74841"/>
    <w:rsid w:val="00A75585"/>
    <w:rsid w:val="00A761AA"/>
    <w:rsid w:val="00A764EA"/>
    <w:rsid w:val="00A770AB"/>
    <w:rsid w:val="00A77651"/>
    <w:rsid w:val="00A81D40"/>
    <w:rsid w:val="00A825B3"/>
    <w:rsid w:val="00A85A4C"/>
    <w:rsid w:val="00A85C66"/>
    <w:rsid w:val="00A9181D"/>
    <w:rsid w:val="00A9413E"/>
    <w:rsid w:val="00A963CB"/>
    <w:rsid w:val="00A96619"/>
    <w:rsid w:val="00AA02CB"/>
    <w:rsid w:val="00AA5423"/>
    <w:rsid w:val="00AA617D"/>
    <w:rsid w:val="00AB3718"/>
    <w:rsid w:val="00AB421E"/>
    <w:rsid w:val="00AC1503"/>
    <w:rsid w:val="00AC6829"/>
    <w:rsid w:val="00AD0ABA"/>
    <w:rsid w:val="00AD17F4"/>
    <w:rsid w:val="00AD1B84"/>
    <w:rsid w:val="00AE01C7"/>
    <w:rsid w:val="00AE05E7"/>
    <w:rsid w:val="00AE07DF"/>
    <w:rsid w:val="00AE239B"/>
    <w:rsid w:val="00AE59BD"/>
    <w:rsid w:val="00AF0142"/>
    <w:rsid w:val="00AF5453"/>
    <w:rsid w:val="00B00F27"/>
    <w:rsid w:val="00B019A1"/>
    <w:rsid w:val="00B01AFA"/>
    <w:rsid w:val="00B031D6"/>
    <w:rsid w:val="00B0428E"/>
    <w:rsid w:val="00B04B61"/>
    <w:rsid w:val="00B0519F"/>
    <w:rsid w:val="00B13D08"/>
    <w:rsid w:val="00B20EA2"/>
    <w:rsid w:val="00B22EA7"/>
    <w:rsid w:val="00B27213"/>
    <w:rsid w:val="00B357BB"/>
    <w:rsid w:val="00B35F8E"/>
    <w:rsid w:val="00B42897"/>
    <w:rsid w:val="00B522D4"/>
    <w:rsid w:val="00B653D1"/>
    <w:rsid w:val="00B724C6"/>
    <w:rsid w:val="00B730D4"/>
    <w:rsid w:val="00B74D2B"/>
    <w:rsid w:val="00B816B7"/>
    <w:rsid w:val="00B860E5"/>
    <w:rsid w:val="00B91862"/>
    <w:rsid w:val="00B92B66"/>
    <w:rsid w:val="00B94CB2"/>
    <w:rsid w:val="00B971C9"/>
    <w:rsid w:val="00BA3C9F"/>
    <w:rsid w:val="00BA711A"/>
    <w:rsid w:val="00BA7946"/>
    <w:rsid w:val="00BB2560"/>
    <w:rsid w:val="00BB3A73"/>
    <w:rsid w:val="00BC1816"/>
    <w:rsid w:val="00BC43B7"/>
    <w:rsid w:val="00BC458D"/>
    <w:rsid w:val="00BD1D58"/>
    <w:rsid w:val="00BD2955"/>
    <w:rsid w:val="00BD34E2"/>
    <w:rsid w:val="00BD7261"/>
    <w:rsid w:val="00BE04D3"/>
    <w:rsid w:val="00BE0CB1"/>
    <w:rsid w:val="00BE3897"/>
    <w:rsid w:val="00BE3E48"/>
    <w:rsid w:val="00BE7274"/>
    <w:rsid w:val="00BE7F50"/>
    <w:rsid w:val="00BF1AA1"/>
    <w:rsid w:val="00BF36BF"/>
    <w:rsid w:val="00BF3768"/>
    <w:rsid w:val="00BF429E"/>
    <w:rsid w:val="00C00C16"/>
    <w:rsid w:val="00C01502"/>
    <w:rsid w:val="00C042D3"/>
    <w:rsid w:val="00C0631C"/>
    <w:rsid w:val="00C07F66"/>
    <w:rsid w:val="00C11422"/>
    <w:rsid w:val="00C11EC5"/>
    <w:rsid w:val="00C15AE0"/>
    <w:rsid w:val="00C215B3"/>
    <w:rsid w:val="00C21BCD"/>
    <w:rsid w:val="00C2283F"/>
    <w:rsid w:val="00C31C77"/>
    <w:rsid w:val="00C327AA"/>
    <w:rsid w:val="00C347B0"/>
    <w:rsid w:val="00C3641A"/>
    <w:rsid w:val="00C40531"/>
    <w:rsid w:val="00C440A8"/>
    <w:rsid w:val="00C46167"/>
    <w:rsid w:val="00C47B8A"/>
    <w:rsid w:val="00C47C0C"/>
    <w:rsid w:val="00C53F31"/>
    <w:rsid w:val="00C547A6"/>
    <w:rsid w:val="00C609B2"/>
    <w:rsid w:val="00C72DB3"/>
    <w:rsid w:val="00C77627"/>
    <w:rsid w:val="00C80357"/>
    <w:rsid w:val="00C83CAE"/>
    <w:rsid w:val="00C84059"/>
    <w:rsid w:val="00C84CB6"/>
    <w:rsid w:val="00C854FB"/>
    <w:rsid w:val="00C91F5A"/>
    <w:rsid w:val="00C920C3"/>
    <w:rsid w:val="00C9715E"/>
    <w:rsid w:val="00CA090B"/>
    <w:rsid w:val="00CA19ED"/>
    <w:rsid w:val="00CA4403"/>
    <w:rsid w:val="00CA569B"/>
    <w:rsid w:val="00CA69C8"/>
    <w:rsid w:val="00CB2A88"/>
    <w:rsid w:val="00CC20BA"/>
    <w:rsid w:val="00CC62A1"/>
    <w:rsid w:val="00CD08F1"/>
    <w:rsid w:val="00CD50BA"/>
    <w:rsid w:val="00CE1D91"/>
    <w:rsid w:val="00CE2AC0"/>
    <w:rsid w:val="00CF1636"/>
    <w:rsid w:val="00CF2DA9"/>
    <w:rsid w:val="00CF379A"/>
    <w:rsid w:val="00CF6233"/>
    <w:rsid w:val="00CF7316"/>
    <w:rsid w:val="00CF7360"/>
    <w:rsid w:val="00D00589"/>
    <w:rsid w:val="00D0207D"/>
    <w:rsid w:val="00D04A7A"/>
    <w:rsid w:val="00D202ED"/>
    <w:rsid w:val="00D221CD"/>
    <w:rsid w:val="00D2266D"/>
    <w:rsid w:val="00D2503D"/>
    <w:rsid w:val="00D30E76"/>
    <w:rsid w:val="00D3299C"/>
    <w:rsid w:val="00D336D2"/>
    <w:rsid w:val="00D340DC"/>
    <w:rsid w:val="00D36352"/>
    <w:rsid w:val="00D365A8"/>
    <w:rsid w:val="00D412BA"/>
    <w:rsid w:val="00D44C30"/>
    <w:rsid w:val="00D47A67"/>
    <w:rsid w:val="00D52293"/>
    <w:rsid w:val="00D56FB1"/>
    <w:rsid w:val="00D57BBF"/>
    <w:rsid w:val="00D62554"/>
    <w:rsid w:val="00D662CD"/>
    <w:rsid w:val="00D70F86"/>
    <w:rsid w:val="00D73ABF"/>
    <w:rsid w:val="00D74F45"/>
    <w:rsid w:val="00D75A05"/>
    <w:rsid w:val="00D82EE7"/>
    <w:rsid w:val="00D837C0"/>
    <w:rsid w:val="00D86284"/>
    <w:rsid w:val="00D8761E"/>
    <w:rsid w:val="00D91DE5"/>
    <w:rsid w:val="00D95F77"/>
    <w:rsid w:val="00DA162A"/>
    <w:rsid w:val="00DA1F4B"/>
    <w:rsid w:val="00DA3196"/>
    <w:rsid w:val="00DA5D04"/>
    <w:rsid w:val="00DB0B7A"/>
    <w:rsid w:val="00DB1251"/>
    <w:rsid w:val="00DB1522"/>
    <w:rsid w:val="00DB4F55"/>
    <w:rsid w:val="00DB577D"/>
    <w:rsid w:val="00DB69DF"/>
    <w:rsid w:val="00DB72BF"/>
    <w:rsid w:val="00DC096E"/>
    <w:rsid w:val="00DC32DA"/>
    <w:rsid w:val="00DC7442"/>
    <w:rsid w:val="00DC7CA9"/>
    <w:rsid w:val="00DD5B62"/>
    <w:rsid w:val="00DE2E43"/>
    <w:rsid w:val="00DE3C58"/>
    <w:rsid w:val="00DE4568"/>
    <w:rsid w:val="00DE49B9"/>
    <w:rsid w:val="00DE5808"/>
    <w:rsid w:val="00DE6BC2"/>
    <w:rsid w:val="00DE7707"/>
    <w:rsid w:val="00DF289A"/>
    <w:rsid w:val="00DF3B47"/>
    <w:rsid w:val="00DF4060"/>
    <w:rsid w:val="00DF5742"/>
    <w:rsid w:val="00DF62B2"/>
    <w:rsid w:val="00E01ACC"/>
    <w:rsid w:val="00E065C1"/>
    <w:rsid w:val="00E06BF5"/>
    <w:rsid w:val="00E06C43"/>
    <w:rsid w:val="00E07EB0"/>
    <w:rsid w:val="00E13456"/>
    <w:rsid w:val="00E15BAB"/>
    <w:rsid w:val="00E15EEC"/>
    <w:rsid w:val="00E216A2"/>
    <w:rsid w:val="00E22CA5"/>
    <w:rsid w:val="00E24E3E"/>
    <w:rsid w:val="00E2676C"/>
    <w:rsid w:val="00E34FEE"/>
    <w:rsid w:val="00E3677C"/>
    <w:rsid w:val="00E45AF9"/>
    <w:rsid w:val="00E47253"/>
    <w:rsid w:val="00E53757"/>
    <w:rsid w:val="00E540B4"/>
    <w:rsid w:val="00E57547"/>
    <w:rsid w:val="00E6035D"/>
    <w:rsid w:val="00E61038"/>
    <w:rsid w:val="00E62D38"/>
    <w:rsid w:val="00E64D96"/>
    <w:rsid w:val="00E6582C"/>
    <w:rsid w:val="00E65A7D"/>
    <w:rsid w:val="00E6673C"/>
    <w:rsid w:val="00E70F19"/>
    <w:rsid w:val="00E74DA3"/>
    <w:rsid w:val="00E76C1E"/>
    <w:rsid w:val="00E825B4"/>
    <w:rsid w:val="00E82DB7"/>
    <w:rsid w:val="00E85C6C"/>
    <w:rsid w:val="00E86DBE"/>
    <w:rsid w:val="00E9053D"/>
    <w:rsid w:val="00E90ABA"/>
    <w:rsid w:val="00E94843"/>
    <w:rsid w:val="00E97D66"/>
    <w:rsid w:val="00EA31A9"/>
    <w:rsid w:val="00EA4CF9"/>
    <w:rsid w:val="00EA6DB0"/>
    <w:rsid w:val="00EB3C99"/>
    <w:rsid w:val="00EB4A20"/>
    <w:rsid w:val="00EB5069"/>
    <w:rsid w:val="00EB7C46"/>
    <w:rsid w:val="00EC2515"/>
    <w:rsid w:val="00EC2C14"/>
    <w:rsid w:val="00EC62DE"/>
    <w:rsid w:val="00ED11E0"/>
    <w:rsid w:val="00EE0F44"/>
    <w:rsid w:val="00EE2230"/>
    <w:rsid w:val="00EE2A3A"/>
    <w:rsid w:val="00EE3D62"/>
    <w:rsid w:val="00EE5AE3"/>
    <w:rsid w:val="00EE7553"/>
    <w:rsid w:val="00EF0C4C"/>
    <w:rsid w:val="00EF25A7"/>
    <w:rsid w:val="00EF2C42"/>
    <w:rsid w:val="00EF2E52"/>
    <w:rsid w:val="00EF42AC"/>
    <w:rsid w:val="00EF4497"/>
    <w:rsid w:val="00EF6226"/>
    <w:rsid w:val="00EF6310"/>
    <w:rsid w:val="00F0324E"/>
    <w:rsid w:val="00F034F2"/>
    <w:rsid w:val="00F11462"/>
    <w:rsid w:val="00F11903"/>
    <w:rsid w:val="00F121C9"/>
    <w:rsid w:val="00F134FB"/>
    <w:rsid w:val="00F14085"/>
    <w:rsid w:val="00F17C5E"/>
    <w:rsid w:val="00F275C4"/>
    <w:rsid w:val="00F27E1E"/>
    <w:rsid w:val="00F3424D"/>
    <w:rsid w:val="00F37A69"/>
    <w:rsid w:val="00F37BC4"/>
    <w:rsid w:val="00F404CA"/>
    <w:rsid w:val="00F43A41"/>
    <w:rsid w:val="00F44D88"/>
    <w:rsid w:val="00F4589C"/>
    <w:rsid w:val="00F47D05"/>
    <w:rsid w:val="00F47E91"/>
    <w:rsid w:val="00F52D10"/>
    <w:rsid w:val="00F53824"/>
    <w:rsid w:val="00F54A26"/>
    <w:rsid w:val="00F55585"/>
    <w:rsid w:val="00F56B71"/>
    <w:rsid w:val="00F571E4"/>
    <w:rsid w:val="00F575C2"/>
    <w:rsid w:val="00F6004D"/>
    <w:rsid w:val="00F6094D"/>
    <w:rsid w:val="00F64AF8"/>
    <w:rsid w:val="00F67D48"/>
    <w:rsid w:val="00F740E9"/>
    <w:rsid w:val="00F76773"/>
    <w:rsid w:val="00F82812"/>
    <w:rsid w:val="00F8322B"/>
    <w:rsid w:val="00F84B24"/>
    <w:rsid w:val="00F97DD4"/>
    <w:rsid w:val="00FA1297"/>
    <w:rsid w:val="00FA7020"/>
    <w:rsid w:val="00FB0790"/>
    <w:rsid w:val="00FB7775"/>
    <w:rsid w:val="00FC3645"/>
    <w:rsid w:val="00FC46C5"/>
    <w:rsid w:val="00FC7F92"/>
    <w:rsid w:val="00FD135A"/>
    <w:rsid w:val="00FD6EE4"/>
    <w:rsid w:val="00FE3A14"/>
    <w:rsid w:val="00FE500D"/>
    <w:rsid w:val="00FF2F8C"/>
    <w:rsid w:val="00FF4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DC"/>
    <w:rPr>
      <w:rFonts w:ascii="VNtimes new roman" w:hAnsi="VNtimes new roman"/>
      <w:sz w:val="34"/>
      <w:szCs w:val="34"/>
    </w:rPr>
  </w:style>
  <w:style w:type="paragraph" w:styleId="Heading1">
    <w:name w:val="heading 1"/>
    <w:basedOn w:val="Normal"/>
    <w:next w:val="Normal"/>
    <w:link w:val="Heading1Char"/>
    <w:uiPriority w:val="99"/>
    <w:qFormat/>
    <w:rsid w:val="00E45A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E239B"/>
    <w:pPr>
      <w:keepNext/>
      <w:ind w:right="171"/>
      <w:jc w:val="center"/>
      <w:outlineLvl w:val="1"/>
    </w:pPr>
    <w:rPr>
      <w:rFonts w:ascii="Times New Roman" w:hAnsi="Times New Roman"/>
      <w:b/>
      <w:bCs/>
      <w:sz w:val="28"/>
      <w:szCs w:val="24"/>
    </w:rPr>
  </w:style>
  <w:style w:type="paragraph" w:styleId="Heading3">
    <w:name w:val="heading 3"/>
    <w:basedOn w:val="Normal"/>
    <w:next w:val="Normal"/>
    <w:link w:val="Heading3Char"/>
    <w:uiPriority w:val="99"/>
    <w:qFormat/>
    <w:rsid w:val="00A46200"/>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5E45B2"/>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AF9"/>
    <w:rPr>
      <w:rFonts w:ascii="Cambria" w:hAnsi="Cambria"/>
      <w:b/>
      <w:kern w:val="32"/>
      <w:sz w:val="32"/>
    </w:rPr>
  </w:style>
  <w:style w:type="character" w:customStyle="1" w:styleId="Heading2Char">
    <w:name w:val="Heading 2 Char"/>
    <w:basedOn w:val="DefaultParagraphFont"/>
    <w:link w:val="Heading2"/>
    <w:uiPriority w:val="99"/>
    <w:locked/>
    <w:rsid w:val="00D47A67"/>
    <w:rPr>
      <w:rFonts w:ascii="Cambria" w:hAnsi="Cambria"/>
      <w:b/>
      <w:color w:val="4F81BD"/>
      <w:sz w:val="26"/>
      <w:lang w:val="en-US" w:eastAsia="en-US"/>
    </w:rPr>
  </w:style>
  <w:style w:type="character" w:customStyle="1" w:styleId="Heading3Char">
    <w:name w:val="Heading 3 Char"/>
    <w:basedOn w:val="DefaultParagraphFont"/>
    <w:link w:val="Heading3"/>
    <w:uiPriority w:val="99"/>
    <w:locked/>
    <w:rsid w:val="00A4620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E45B2"/>
    <w:rPr>
      <w:rFonts w:ascii="Calibri" w:hAnsi="Calibri" w:cs="Times New Roman"/>
      <w:b/>
      <w:bCs/>
      <w:sz w:val="28"/>
      <w:szCs w:val="28"/>
    </w:rPr>
  </w:style>
  <w:style w:type="table" w:styleId="TableGrid">
    <w:name w:val="Table Grid"/>
    <w:basedOn w:val="TableNormal"/>
    <w:uiPriority w:val="99"/>
    <w:rsid w:val="00DB0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Char"/>
    <w:basedOn w:val="Normal"/>
    <w:link w:val="BodyTextChar"/>
    <w:uiPriority w:val="99"/>
    <w:rsid w:val="00B22EA7"/>
    <w:pPr>
      <w:jc w:val="both"/>
    </w:pPr>
    <w:rPr>
      <w:sz w:val="28"/>
      <w:szCs w:val="24"/>
    </w:rPr>
  </w:style>
  <w:style w:type="character" w:customStyle="1" w:styleId="BodyTextChar">
    <w:name w:val="Body Text Char"/>
    <w:aliases w:val="body Char Char"/>
    <w:basedOn w:val="DefaultParagraphFont"/>
    <w:link w:val="BodyText"/>
    <w:uiPriority w:val="99"/>
    <w:locked/>
    <w:rsid w:val="00A46200"/>
    <w:rPr>
      <w:rFonts w:ascii="VNtimes new roman" w:hAnsi="VNtimes new roman"/>
      <w:sz w:val="24"/>
    </w:rPr>
  </w:style>
  <w:style w:type="paragraph" w:styleId="BalloonText">
    <w:name w:val="Balloon Text"/>
    <w:basedOn w:val="Normal"/>
    <w:link w:val="BalloonTextChar"/>
    <w:uiPriority w:val="99"/>
    <w:semiHidden/>
    <w:rsid w:val="0062118E"/>
    <w:rPr>
      <w:rFonts w:ascii="Tahoma" w:hAnsi="Tahoma"/>
      <w:sz w:val="16"/>
      <w:szCs w:val="16"/>
    </w:rPr>
  </w:style>
  <w:style w:type="character" w:customStyle="1" w:styleId="BalloonTextChar">
    <w:name w:val="Balloon Text Char"/>
    <w:basedOn w:val="DefaultParagraphFont"/>
    <w:link w:val="BalloonText"/>
    <w:uiPriority w:val="99"/>
    <w:semiHidden/>
    <w:locked/>
    <w:rsid w:val="00A46200"/>
    <w:rPr>
      <w:rFonts w:ascii="Tahoma" w:hAnsi="Tahoma"/>
      <w:sz w:val="16"/>
    </w:rPr>
  </w:style>
  <w:style w:type="character" w:customStyle="1" w:styleId="go">
    <w:name w:val="go"/>
    <w:basedOn w:val="DefaultParagraphFont"/>
    <w:uiPriority w:val="99"/>
    <w:rsid w:val="00575E76"/>
    <w:rPr>
      <w:rFonts w:cs="Times New Roman"/>
    </w:rPr>
  </w:style>
  <w:style w:type="paragraph" w:styleId="Footer">
    <w:name w:val="footer"/>
    <w:basedOn w:val="Normal"/>
    <w:link w:val="FooterChar"/>
    <w:uiPriority w:val="99"/>
    <w:rsid w:val="002A57AB"/>
    <w:pPr>
      <w:tabs>
        <w:tab w:val="center" w:pos="4320"/>
        <w:tab w:val="right" w:pos="8640"/>
      </w:tabs>
    </w:pPr>
  </w:style>
  <w:style w:type="character" w:customStyle="1" w:styleId="FooterChar">
    <w:name w:val="Footer Char"/>
    <w:basedOn w:val="DefaultParagraphFont"/>
    <w:link w:val="Footer"/>
    <w:uiPriority w:val="99"/>
    <w:locked/>
    <w:rsid w:val="00A46200"/>
    <w:rPr>
      <w:rFonts w:ascii="VNtimes new roman" w:hAnsi="VNtimes new roman"/>
      <w:sz w:val="34"/>
    </w:rPr>
  </w:style>
  <w:style w:type="character" w:styleId="PageNumber">
    <w:name w:val="page number"/>
    <w:basedOn w:val="DefaultParagraphFont"/>
    <w:uiPriority w:val="99"/>
    <w:rsid w:val="002A57AB"/>
    <w:rPr>
      <w:rFonts w:cs="Times New Roman"/>
    </w:rPr>
  </w:style>
  <w:style w:type="paragraph" w:styleId="Header">
    <w:name w:val="header"/>
    <w:basedOn w:val="Normal"/>
    <w:link w:val="HeaderChar"/>
    <w:uiPriority w:val="99"/>
    <w:rsid w:val="002A57AB"/>
    <w:pPr>
      <w:tabs>
        <w:tab w:val="center" w:pos="4320"/>
        <w:tab w:val="right" w:pos="8640"/>
      </w:tabs>
    </w:pPr>
  </w:style>
  <w:style w:type="character" w:customStyle="1" w:styleId="HeaderChar">
    <w:name w:val="Header Char"/>
    <w:basedOn w:val="DefaultParagraphFont"/>
    <w:link w:val="Header"/>
    <w:uiPriority w:val="99"/>
    <w:locked/>
    <w:rsid w:val="00A46200"/>
    <w:rPr>
      <w:rFonts w:ascii="VNtimes new roman" w:hAnsi="VNtimes new roman"/>
      <w:sz w:val="34"/>
    </w:rPr>
  </w:style>
  <w:style w:type="character" w:customStyle="1" w:styleId="Heading2Char1">
    <w:name w:val="Heading 2 Char1"/>
    <w:link w:val="Heading2"/>
    <w:uiPriority w:val="99"/>
    <w:locked/>
    <w:rsid w:val="00E45AF9"/>
    <w:rPr>
      <w:b/>
      <w:sz w:val="24"/>
    </w:rPr>
  </w:style>
  <w:style w:type="paragraph" w:styleId="NormalWeb">
    <w:name w:val="Normal (Web)"/>
    <w:basedOn w:val="Normal"/>
    <w:uiPriority w:val="99"/>
    <w:rsid w:val="00851F4B"/>
    <w:pPr>
      <w:spacing w:before="100" w:beforeAutospacing="1" w:after="100" w:afterAutospacing="1"/>
    </w:pPr>
    <w:rPr>
      <w:rFonts w:ascii="Verdana" w:hAnsi="Verdana"/>
      <w:sz w:val="24"/>
      <w:szCs w:val="24"/>
    </w:rPr>
  </w:style>
  <w:style w:type="character" w:customStyle="1" w:styleId="apple-converted-space">
    <w:name w:val="apple-converted-space"/>
    <w:basedOn w:val="DefaultParagraphFont"/>
    <w:uiPriority w:val="99"/>
    <w:rsid w:val="00851F4B"/>
    <w:rPr>
      <w:rFonts w:cs="Times New Roman"/>
    </w:rPr>
  </w:style>
  <w:style w:type="character" w:customStyle="1" w:styleId="Bodytext211pt">
    <w:name w:val="Body text (2) + 11 pt"/>
    <w:aliases w:val="Italic,Bold,Spacing 0 pt,Body text (2) + MS Reference Sans Serif,4 pt,7.5 pt"/>
    <w:uiPriority w:val="99"/>
    <w:rsid w:val="00851F4B"/>
    <w:rPr>
      <w:rFonts w:ascii="Times New Roman" w:hAnsi="Times New Roman"/>
      <w:color w:val="000000"/>
      <w:spacing w:val="0"/>
      <w:w w:val="100"/>
      <w:position w:val="0"/>
      <w:sz w:val="22"/>
      <w:shd w:val="clear" w:color="auto" w:fill="FFFFFF"/>
      <w:lang w:val="vi-VN" w:eastAsia="vi-VN"/>
    </w:rPr>
  </w:style>
  <w:style w:type="character" w:customStyle="1" w:styleId="TitleChar">
    <w:name w:val="Title Char"/>
    <w:link w:val="Title"/>
    <w:uiPriority w:val="99"/>
    <w:locked/>
    <w:rsid w:val="005E45B2"/>
    <w:rPr>
      <w:b/>
      <w:sz w:val="24"/>
    </w:rPr>
  </w:style>
  <w:style w:type="paragraph" w:styleId="Title">
    <w:name w:val="Title"/>
    <w:basedOn w:val="Normal"/>
    <w:link w:val="TitleChar"/>
    <w:uiPriority w:val="99"/>
    <w:qFormat/>
    <w:rsid w:val="005E45B2"/>
    <w:pPr>
      <w:jc w:val="center"/>
    </w:pPr>
    <w:rPr>
      <w:rFonts w:ascii="Times New Roman" w:hAnsi="Times New Roman"/>
      <w:b/>
      <w:bCs/>
      <w:sz w:val="24"/>
      <w:szCs w:val="24"/>
    </w:rPr>
  </w:style>
  <w:style w:type="character" w:customStyle="1" w:styleId="TitleChar1">
    <w:name w:val="Title Char1"/>
    <w:basedOn w:val="DefaultParagraphFont"/>
    <w:link w:val="Title"/>
    <w:uiPriority w:val="99"/>
    <w:rsid w:val="005E45B2"/>
    <w:rPr>
      <w:rFonts w:ascii="Cambria" w:hAnsi="Cambria" w:cs="Times New Roman"/>
      <w:b/>
      <w:bCs/>
      <w:kern w:val="28"/>
      <w:sz w:val="32"/>
      <w:szCs w:val="32"/>
    </w:rPr>
  </w:style>
  <w:style w:type="paragraph" w:customStyle="1" w:styleId="ListParagraph1">
    <w:name w:val="List Paragraph1"/>
    <w:basedOn w:val="Normal"/>
    <w:uiPriority w:val="99"/>
    <w:rsid w:val="005E45B2"/>
    <w:pPr>
      <w:spacing w:after="200" w:line="276" w:lineRule="auto"/>
      <w:ind w:left="720"/>
      <w:contextualSpacing/>
    </w:pPr>
    <w:rPr>
      <w:rFonts w:ascii="Arial" w:hAnsi="Arial"/>
      <w:sz w:val="22"/>
      <w:szCs w:val="22"/>
      <w:lang w:val="vi-VN"/>
    </w:rPr>
  </w:style>
  <w:style w:type="paragraph" w:styleId="BodyTextIndent2">
    <w:name w:val="Body Text Indent 2"/>
    <w:basedOn w:val="Normal"/>
    <w:link w:val="BodyTextIndent2Char"/>
    <w:uiPriority w:val="99"/>
    <w:rsid w:val="00477C64"/>
    <w:pPr>
      <w:spacing w:after="120" w:line="480" w:lineRule="auto"/>
      <w:ind w:left="360"/>
    </w:pPr>
  </w:style>
  <w:style w:type="character" w:customStyle="1" w:styleId="BodyTextIndent2Char">
    <w:name w:val="Body Text Indent 2 Char"/>
    <w:basedOn w:val="DefaultParagraphFont"/>
    <w:link w:val="BodyTextIndent2"/>
    <w:uiPriority w:val="99"/>
    <w:locked/>
    <w:rsid w:val="00477C64"/>
    <w:rPr>
      <w:rFonts w:ascii="VNtimes new roman" w:hAnsi="VNtimes new roman" w:cs="Times New Roman"/>
      <w:sz w:val="34"/>
      <w:szCs w:val="34"/>
    </w:rPr>
  </w:style>
  <w:style w:type="paragraph" w:styleId="BodyText3">
    <w:name w:val="Body Text 3"/>
    <w:basedOn w:val="Normal"/>
    <w:link w:val="BodyText3Char"/>
    <w:uiPriority w:val="99"/>
    <w:rsid w:val="00477C64"/>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477C64"/>
    <w:rPr>
      <w:rFonts w:cs="Times New Roman"/>
      <w:sz w:val="16"/>
      <w:szCs w:val="16"/>
    </w:rPr>
  </w:style>
  <w:style w:type="character" w:customStyle="1" w:styleId="BalloonTextChar1">
    <w:name w:val="Balloon Text Char1"/>
    <w:uiPriority w:val="99"/>
    <w:semiHidden/>
    <w:rsid w:val="00A46200"/>
    <w:rPr>
      <w:rFonts w:ascii="Tahoma" w:hAnsi="Tahoma"/>
      <w:sz w:val="16"/>
    </w:rPr>
  </w:style>
  <w:style w:type="paragraph" w:styleId="BodyTextIndent">
    <w:name w:val="Body Text Indent"/>
    <w:basedOn w:val="Normal"/>
    <w:link w:val="BodyTextIndentChar"/>
    <w:uiPriority w:val="99"/>
    <w:rsid w:val="00A46200"/>
    <w:pPr>
      <w:spacing w:before="20" w:after="120"/>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A46200"/>
    <w:rPr>
      <w:rFonts w:cs="Times New Roman"/>
      <w:sz w:val="24"/>
      <w:szCs w:val="24"/>
    </w:rPr>
  </w:style>
  <w:style w:type="character" w:styleId="Strong">
    <w:name w:val="Strong"/>
    <w:basedOn w:val="DefaultParagraphFont"/>
    <w:uiPriority w:val="99"/>
    <w:qFormat/>
    <w:rsid w:val="00A46200"/>
    <w:rPr>
      <w:rFonts w:cs="Times New Roman"/>
      <w:b/>
    </w:rPr>
  </w:style>
  <w:style w:type="paragraph" w:styleId="ListParagraph">
    <w:name w:val="List Paragraph"/>
    <w:basedOn w:val="Normal"/>
    <w:uiPriority w:val="99"/>
    <w:qFormat/>
    <w:rsid w:val="00A46200"/>
    <w:pPr>
      <w:spacing w:before="20" w:after="20"/>
      <w:ind w:left="720"/>
      <w:contextualSpacing/>
    </w:pPr>
    <w:rPr>
      <w:rFonts w:ascii="Times New Roman" w:eastAsia="Batang" w:hAnsi="Times New Roman"/>
      <w:sz w:val="28"/>
      <w:szCs w:val="28"/>
      <w:lang w:eastAsia="ko-KR"/>
    </w:rPr>
  </w:style>
  <w:style w:type="paragraph" w:customStyle="1" w:styleId="Char">
    <w:name w:val="Char"/>
    <w:basedOn w:val="Normal"/>
    <w:uiPriority w:val="99"/>
    <w:rsid w:val="00A46200"/>
    <w:pPr>
      <w:spacing w:after="160" w:line="240" w:lineRule="exact"/>
    </w:pPr>
    <w:rPr>
      <w:rFonts w:ascii="Verdana" w:hAnsi="Verdana"/>
      <w:sz w:val="20"/>
      <w:szCs w:val="20"/>
    </w:rPr>
  </w:style>
  <w:style w:type="paragraph" w:styleId="BodyText2">
    <w:name w:val="Body Text 2"/>
    <w:basedOn w:val="Normal"/>
    <w:link w:val="BodyText2Char"/>
    <w:uiPriority w:val="99"/>
    <w:rsid w:val="00A46200"/>
    <w:pPr>
      <w:spacing w:before="20"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A46200"/>
    <w:rPr>
      <w:rFonts w:cs="Times New Roman"/>
      <w:sz w:val="24"/>
      <w:szCs w:val="24"/>
    </w:rPr>
  </w:style>
  <w:style w:type="character" w:styleId="Hyperlink">
    <w:name w:val="Hyperlink"/>
    <w:basedOn w:val="DefaultParagraphFont"/>
    <w:uiPriority w:val="99"/>
    <w:rsid w:val="00A46200"/>
    <w:rPr>
      <w:rFonts w:cs="Times New Roman"/>
      <w:color w:val="0000FF"/>
      <w:u w:val="single"/>
    </w:rPr>
  </w:style>
  <w:style w:type="paragraph" w:styleId="BodyTextIndent3">
    <w:name w:val="Body Text Indent 3"/>
    <w:basedOn w:val="Normal"/>
    <w:link w:val="BodyTextIndent3Char"/>
    <w:uiPriority w:val="99"/>
    <w:rsid w:val="00112A23"/>
    <w:pPr>
      <w:ind w:firstLine="567"/>
      <w:jc w:val="center"/>
    </w:pPr>
    <w:rPr>
      <w:b/>
      <w:sz w:val="32"/>
      <w:szCs w:val="20"/>
    </w:rPr>
  </w:style>
  <w:style w:type="character" w:customStyle="1" w:styleId="BodyTextIndent3Char">
    <w:name w:val="Body Text Indent 3 Char"/>
    <w:basedOn w:val="DefaultParagraphFont"/>
    <w:link w:val="BodyTextIndent3"/>
    <w:uiPriority w:val="99"/>
    <w:locked/>
    <w:rsid w:val="00112A23"/>
    <w:rPr>
      <w:rFonts w:ascii="VNtimes new roman" w:hAnsi="VNtimes new roman" w:cs="Times New Roman"/>
      <w:b/>
      <w:sz w:val="32"/>
    </w:rPr>
  </w:style>
  <w:style w:type="paragraph" w:customStyle="1" w:styleId="CharCharCharCharCharCharChar">
    <w:name w:val="Char Char Char Char Char Char Char"/>
    <w:autoRedefine/>
    <w:uiPriority w:val="99"/>
    <w:rsid w:val="00112A23"/>
    <w:pPr>
      <w:tabs>
        <w:tab w:val="left" w:pos="1152"/>
      </w:tabs>
      <w:spacing w:before="120" w:after="120" w:line="312" w:lineRule="auto"/>
    </w:pPr>
    <w:rPr>
      <w:rFonts w:ascii="Arial" w:hAnsi="Arial" w:cs="Arial"/>
      <w:sz w:val="26"/>
      <w:szCs w:val="26"/>
    </w:rPr>
  </w:style>
  <w:style w:type="character" w:customStyle="1" w:styleId="bodyCharCharChar1">
    <w:name w:val="body Char Char Char1"/>
    <w:uiPriority w:val="99"/>
    <w:rsid w:val="00112A23"/>
    <w:rPr>
      <w:rFonts w:ascii=".VnTime" w:hAnsi=".VnTime"/>
    </w:rPr>
  </w:style>
  <w:style w:type="character" w:customStyle="1" w:styleId="Bodytext20">
    <w:name w:val="Body text (2)_"/>
    <w:link w:val="Bodytext21"/>
    <w:uiPriority w:val="99"/>
    <w:locked/>
    <w:rsid w:val="00112A23"/>
    <w:rPr>
      <w:shd w:val="clear" w:color="auto" w:fill="FFFFFF"/>
    </w:rPr>
  </w:style>
  <w:style w:type="paragraph" w:customStyle="1" w:styleId="Bodytext21">
    <w:name w:val="Body text (2)"/>
    <w:basedOn w:val="Normal"/>
    <w:link w:val="Bodytext20"/>
    <w:uiPriority w:val="99"/>
    <w:rsid w:val="00112A23"/>
    <w:pPr>
      <w:widowControl w:val="0"/>
      <w:shd w:val="clear" w:color="auto" w:fill="FFFFFF"/>
    </w:pPr>
    <w:rPr>
      <w:rFonts w:ascii="Times New Roman" w:hAnsi="Times New Roman"/>
      <w:sz w:val="20"/>
      <w:szCs w:val="20"/>
      <w:shd w:val="clear" w:color="auto" w:fill="FFFFFF"/>
    </w:rPr>
  </w:style>
  <w:style w:type="character" w:customStyle="1" w:styleId="Heading40">
    <w:name w:val="Heading #4_"/>
    <w:basedOn w:val="DefaultParagraphFont"/>
    <w:link w:val="Heading41"/>
    <w:uiPriority w:val="99"/>
    <w:locked/>
    <w:rsid w:val="00F11903"/>
    <w:rPr>
      <w:rFonts w:cs="Times New Roman"/>
      <w:b/>
      <w:bCs/>
      <w:i/>
      <w:iCs/>
      <w:sz w:val="26"/>
      <w:szCs w:val="26"/>
      <w:shd w:val="clear" w:color="auto" w:fill="FFFFFF"/>
    </w:rPr>
  </w:style>
  <w:style w:type="paragraph" w:customStyle="1" w:styleId="Heading41">
    <w:name w:val="Heading #4"/>
    <w:basedOn w:val="Normal"/>
    <w:link w:val="Heading40"/>
    <w:uiPriority w:val="99"/>
    <w:rsid w:val="00F11903"/>
    <w:pPr>
      <w:widowControl w:val="0"/>
      <w:shd w:val="clear" w:color="auto" w:fill="FFFFFF"/>
      <w:spacing w:before="120" w:after="120" w:line="240" w:lineRule="atLeast"/>
      <w:ind w:firstLine="540"/>
      <w:jc w:val="both"/>
      <w:outlineLvl w:val="3"/>
    </w:pPr>
    <w:rPr>
      <w:rFonts w:ascii="Times New Roman" w:hAnsi="Times New Roman"/>
      <w:b/>
      <w:bCs/>
      <w:i/>
      <w:iCs/>
      <w:sz w:val="26"/>
      <w:szCs w:val="26"/>
    </w:rPr>
  </w:style>
  <w:style w:type="paragraph" w:customStyle="1" w:styleId="Default">
    <w:name w:val="Default"/>
    <w:uiPriority w:val="99"/>
    <w:rsid w:val="00082FE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73595446">
      <w:marLeft w:val="0"/>
      <w:marRight w:val="0"/>
      <w:marTop w:val="0"/>
      <w:marBottom w:val="0"/>
      <w:divBdr>
        <w:top w:val="none" w:sz="0" w:space="0" w:color="auto"/>
        <w:left w:val="none" w:sz="0" w:space="0" w:color="auto"/>
        <w:bottom w:val="none" w:sz="0" w:space="0" w:color="auto"/>
        <w:right w:val="none" w:sz="0" w:space="0" w:color="auto"/>
      </w:divBdr>
      <w:divsChild>
        <w:div w:id="773595445">
          <w:marLeft w:val="0"/>
          <w:marRight w:val="0"/>
          <w:marTop w:val="0"/>
          <w:marBottom w:val="0"/>
          <w:divBdr>
            <w:top w:val="none" w:sz="0" w:space="0" w:color="auto"/>
            <w:left w:val="none" w:sz="0" w:space="0" w:color="auto"/>
            <w:bottom w:val="none" w:sz="0" w:space="0" w:color="auto"/>
            <w:right w:val="none" w:sz="0" w:space="0" w:color="auto"/>
          </w:divBdr>
          <w:divsChild>
            <w:div w:id="773595447">
              <w:marLeft w:val="0"/>
              <w:marRight w:val="0"/>
              <w:marTop w:val="0"/>
              <w:marBottom w:val="0"/>
              <w:divBdr>
                <w:top w:val="none" w:sz="0" w:space="0" w:color="auto"/>
                <w:left w:val="none" w:sz="0" w:space="0" w:color="auto"/>
                <w:bottom w:val="none" w:sz="0" w:space="0" w:color="auto"/>
                <w:right w:val="none" w:sz="0" w:space="0" w:color="auto"/>
              </w:divBdr>
            </w:div>
            <w:div w:id="7735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449">
      <w:marLeft w:val="0"/>
      <w:marRight w:val="0"/>
      <w:marTop w:val="0"/>
      <w:marBottom w:val="0"/>
      <w:divBdr>
        <w:top w:val="none" w:sz="0" w:space="0" w:color="auto"/>
        <w:left w:val="none" w:sz="0" w:space="0" w:color="auto"/>
        <w:bottom w:val="none" w:sz="0" w:space="0" w:color="auto"/>
        <w:right w:val="none" w:sz="0" w:space="0" w:color="auto"/>
      </w:divBdr>
    </w:div>
    <w:div w:id="773595450">
      <w:marLeft w:val="0"/>
      <w:marRight w:val="0"/>
      <w:marTop w:val="0"/>
      <w:marBottom w:val="0"/>
      <w:divBdr>
        <w:top w:val="none" w:sz="0" w:space="0" w:color="auto"/>
        <w:left w:val="none" w:sz="0" w:space="0" w:color="auto"/>
        <w:bottom w:val="none" w:sz="0" w:space="0" w:color="auto"/>
        <w:right w:val="none" w:sz="0" w:space="0" w:color="auto"/>
      </w:divBdr>
    </w:div>
    <w:div w:id="773595452">
      <w:marLeft w:val="0"/>
      <w:marRight w:val="0"/>
      <w:marTop w:val="0"/>
      <w:marBottom w:val="0"/>
      <w:divBdr>
        <w:top w:val="none" w:sz="0" w:space="0" w:color="auto"/>
        <w:left w:val="none" w:sz="0" w:space="0" w:color="auto"/>
        <w:bottom w:val="none" w:sz="0" w:space="0" w:color="auto"/>
        <w:right w:val="none" w:sz="0" w:space="0" w:color="auto"/>
      </w:divBdr>
      <w:divsChild>
        <w:div w:id="773595451">
          <w:marLeft w:val="0"/>
          <w:marRight w:val="0"/>
          <w:marTop w:val="0"/>
          <w:marBottom w:val="0"/>
          <w:divBdr>
            <w:top w:val="none" w:sz="0" w:space="0" w:color="auto"/>
            <w:left w:val="none" w:sz="0" w:space="0" w:color="auto"/>
            <w:bottom w:val="none" w:sz="0" w:space="0" w:color="auto"/>
            <w:right w:val="none" w:sz="0" w:space="0" w:color="auto"/>
          </w:divBdr>
        </w:div>
        <w:div w:id="77359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1587</Words>
  <Characters>9052</Characters>
  <Application>Microsoft Office Outlook</Application>
  <DocSecurity>0</DocSecurity>
  <Lines>0</Lines>
  <Paragraphs>0</Paragraphs>
  <ScaleCrop>false</ScaleCrop>
  <Company>Chi Cuc Thu Y - TTH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&amp;PTNT</dc:title>
  <dc:subject/>
  <dc:creator>Le Thanh An</dc:creator>
  <cp:keywords/>
  <dc:description/>
  <cp:lastModifiedBy>Admin</cp:lastModifiedBy>
  <cp:revision>2</cp:revision>
  <cp:lastPrinted>2018-12-18T07:20:00Z</cp:lastPrinted>
  <dcterms:created xsi:type="dcterms:W3CDTF">2019-01-04T06:56:00Z</dcterms:created>
  <dcterms:modified xsi:type="dcterms:W3CDTF">2019-01-04T06:56:00Z</dcterms:modified>
</cp:coreProperties>
</file>